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26" w:rsidRPr="0088017A" w:rsidRDefault="005A518E" w:rsidP="0041056C">
      <w:pPr>
        <w:jc w:val="center"/>
      </w:pPr>
      <w:bookmarkStart w:id="0" w:name="_Ref34092549"/>
      <w:bookmarkEnd w:id="0"/>
      <w:r w:rsidRPr="0088017A">
        <w:rPr>
          <w:noProof/>
          <w:lang w:val="en-US"/>
        </w:rPr>
        <w:drawing>
          <wp:inline distT="0" distB="0" distL="0" distR="0" wp14:anchorId="364D6DF3" wp14:editId="537FCFDA">
            <wp:extent cx="1352550" cy="91440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a:stretch>
                      <a:fillRect/>
                    </a:stretch>
                  </pic:blipFill>
                  <pic:spPr bwMode="auto">
                    <a:xfrm>
                      <a:off x="0" y="0"/>
                      <a:ext cx="1352550" cy="914400"/>
                    </a:xfrm>
                    <a:prstGeom prst="rect">
                      <a:avLst/>
                    </a:prstGeom>
                    <a:noFill/>
                    <a:ln>
                      <a:noFill/>
                    </a:ln>
                  </pic:spPr>
                </pic:pic>
              </a:graphicData>
            </a:graphic>
          </wp:inline>
        </w:drawing>
      </w:r>
      <w:bookmarkStart w:id="1" w:name="_Ref61409787"/>
      <w:bookmarkEnd w:id="1"/>
    </w:p>
    <w:p w:rsidR="00C62626" w:rsidRPr="0088017A" w:rsidRDefault="00C62626">
      <w:pPr>
        <w:spacing w:before="800"/>
        <w:jc w:val="center"/>
        <w:rPr>
          <w:b/>
          <w:bCs/>
          <w:sz w:val="40"/>
        </w:rPr>
      </w:pPr>
      <w:r w:rsidRPr="0088017A">
        <w:rPr>
          <w:b/>
          <w:bCs/>
          <w:sz w:val="40"/>
        </w:rPr>
        <w:t>T</w:t>
      </w:r>
      <w:bookmarkStart w:id="2" w:name="_Ref482499463"/>
      <w:bookmarkEnd w:id="2"/>
      <w:r w:rsidRPr="0088017A">
        <w:rPr>
          <w:b/>
          <w:bCs/>
          <w:sz w:val="40"/>
        </w:rPr>
        <w:t>HE CITY OF WINNIPEG</w:t>
      </w:r>
    </w:p>
    <w:p w:rsidR="00C62626" w:rsidRPr="0088017A" w:rsidRDefault="0061284B">
      <w:pPr>
        <w:spacing w:before="1200"/>
        <w:jc w:val="center"/>
        <w:rPr>
          <w:b/>
          <w:bCs/>
          <w:sz w:val="60"/>
        </w:rPr>
      </w:pPr>
      <w:r w:rsidRPr="0088017A">
        <w:rPr>
          <w:b/>
          <w:bCs/>
          <w:sz w:val="60"/>
        </w:rPr>
        <w:t>BID OPPORTUNITY</w:t>
      </w:r>
    </w:p>
    <w:p w:rsidR="00C62626" w:rsidRPr="0088017A" w:rsidRDefault="0081253B">
      <w:pPr>
        <w:pStyle w:val="TenderNo"/>
      </w:pPr>
      <w:bookmarkStart w:id="3" w:name="_Ref481902850"/>
      <w:bookmarkEnd w:id="3"/>
      <w:r w:rsidRPr="0088017A">
        <w:t>Bid Opportunity</w:t>
      </w:r>
      <w:r w:rsidR="00FA1397" w:rsidRPr="0088017A">
        <w:t xml:space="preserve"> No.</w:t>
      </w:r>
      <w:r w:rsidR="00CD4E77" w:rsidRPr="0088017A">
        <w:t xml:space="preserve"> </w:t>
      </w:r>
      <w:bookmarkStart w:id="4" w:name="BidOppNo"/>
      <w:r w:rsidR="00321F03" w:rsidRPr="0088017A">
        <w:t xml:space="preserve">^ </w:t>
      </w:r>
      <w:bookmarkEnd w:id="4"/>
      <w:r w:rsidRPr="0088017A">
        <w:t xml:space="preserve"> </w:t>
      </w:r>
    </w:p>
    <w:p w:rsidR="003D7DEF" w:rsidRPr="0088017A" w:rsidRDefault="00C62626">
      <w:pPr>
        <w:pStyle w:val="ProjectTitle"/>
      </w:pPr>
      <w:bookmarkStart w:id="5" w:name="ContractTitle"/>
      <w:r w:rsidRPr="0088017A">
        <w:t>^</w:t>
      </w:r>
      <w:r w:rsidR="001D4594" w:rsidRPr="0088017A">
        <w:t xml:space="preserve"> </w:t>
      </w:r>
      <w:bookmarkEnd w:id="5"/>
    </w:p>
    <w:p w:rsidR="003D7DEF" w:rsidRPr="0088017A" w:rsidRDefault="003D7DEF">
      <w:pPr>
        <w:pStyle w:val="ProjectTitle"/>
      </w:pPr>
    </w:p>
    <w:p w:rsidR="003D7DEF" w:rsidRPr="0088017A" w:rsidRDefault="003D7DEF">
      <w:pPr>
        <w:pStyle w:val="ProjectTitle"/>
      </w:pPr>
    </w:p>
    <w:p w:rsidR="00447B25" w:rsidRPr="0088017A" w:rsidRDefault="003D7DEF">
      <w:pPr>
        <w:pStyle w:val="ProjectTitle"/>
        <w:rPr>
          <w:color w:val="1F497D" w:themeColor="text2"/>
        </w:rPr>
      </w:pPr>
      <w:r w:rsidRPr="0088017A">
        <w:rPr>
          <w:color w:val="1F497D" w:themeColor="text2"/>
        </w:rPr>
        <w:t>Reference Clauses for</w:t>
      </w:r>
      <w:r w:rsidR="00244DFA" w:rsidRPr="0088017A">
        <w:rPr>
          <w:color w:val="1F497D" w:themeColor="text2"/>
        </w:rPr>
        <w:t xml:space="preserve"> use of WSTP</w:t>
      </w:r>
      <w:r w:rsidR="007753E5" w:rsidRPr="0088017A">
        <w:rPr>
          <w:color w:val="1F497D" w:themeColor="text2"/>
        </w:rPr>
        <w:t xml:space="preserve"> </w:t>
      </w:r>
      <w:r w:rsidRPr="0088017A">
        <w:rPr>
          <w:color w:val="1F497D" w:themeColor="text2"/>
        </w:rPr>
        <w:t>Standardization Contracts</w:t>
      </w:r>
    </w:p>
    <w:p w:rsidR="00886D38" w:rsidRPr="0088017A" w:rsidRDefault="00886D38">
      <w:pPr>
        <w:pStyle w:val="ProjectTitle"/>
        <w:rPr>
          <w:color w:val="1F497D" w:themeColor="text2"/>
        </w:rPr>
      </w:pPr>
    </w:p>
    <w:p w:rsidR="00886D38" w:rsidRPr="0088017A" w:rsidRDefault="00886D38" w:rsidP="00886D38">
      <w:pPr>
        <w:pStyle w:val="Instructions"/>
      </w:pPr>
      <w:r w:rsidRPr="0088017A">
        <w:t>Instructions:</w:t>
      </w:r>
    </w:p>
    <w:p w:rsidR="00C62626" w:rsidRPr="0088017A" w:rsidRDefault="00886D38" w:rsidP="00886D38">
      <w:pPr>
        <w:pStyle w:val="Instructions"/>
        <w:numPr>
          <w:ilvl w:val="0"/>
          <w:numId w:val="16"/>
        </w:numPr>
      </w:pPr>
      <w:r w:rsidRPr="0088017A">
        <w:t>The clauses in this document should be added to the relevant Bid Opportunity.  The clause numbering in this document will not be correct, and it is the responsibility of the Bid Opportunity author to ensure that the clauses are incorporated into the correct section.</w:t>
      </w:r>
    </w:p>
    <w:p w:rsidR="00886D38" w:rsidRPr="0088017A" w:rsidRDefault="00886D38" w:rsidP="00886D38">
      <w:pPr>
        <w:pStyle w:val="Instructions"/>
        <w:numPr>
          <w:ilvl w:val="0"/>
          <w:numId w:val="16"/>
        </w:numPr>
      </w:pPr>
      <w:r w:rsidRPr="0088017A">
        <w:t>If a section is not applicable to the work, for example, if there is no instrumentation under the contract, then delete the applicable section(s).</w:t>
      </w:r>
    </w:p>
    <w:p w:rsidR="001C1FA8" w:rsidRPr="0088017A" w:rsidRDefault="001C1FA8" w:rsidP="00886D38">
      <w:pPr>
        <w:pStyle w:val="Instructions"/>
      </w:pPr>
    </w:p>
    <w:p w:rsidR="001C1FA8" w:rsidRPr="0088017A" w:rsidRDefault="001C1FA8" w:rsidP="00886D38">
      <w:pPr>
        <w:pStyle w:val="Instructions"/>
      </w:pPr>
    </w:p>
    <w:p w:rsidR="00C62626" w:rsidRPr="0088017A" w:rsidRDefault="00C62626" w:rsidP="00886D38">
      <w:pPr>
        <w:pStyle w:val="Instructions"/>
        <w:sectPr w:rsidR="00C62626" w:rsidRPr="0088017A" w:rsidSect="00400F4A">
          <w:headerReference w:type="first" r:id="rId10"/>
          <w:endnotePr>
            <w:numFmt w:val="upperLetter"/>
          </w:endnotePr>
          <w:type w:val="continuous"/>
          <w:pgSz w:w="12240" w:h="15840" w:code="1"/>
          <w:pgMar w:top="2880" w:right="1440" w:bottom="1440" w:left="1440" w:header="432" w:footer="432" w:gutter="0"/>
          <w:cols w:space="720"/>
        </w:sectPr>
      </w:pPr>
    </w:p>
    <w:p w:rsidR="00C62626" w:rsidRPr="0088017A" w:rsidRDefault="00C62626">
      <w:pPr>
        <w:jc w:val="center"/>
        <w:rPr>
          <w:b/>
          <w:bCs/>
          <w:sz w:val="24"/>
        </w:rPr>
      </w:pPr>
      <w:r w:rsidRPr="0088017A">
        <w:rPr>
          <w:b/>
          <w:bCs/>
          <w:sz w:val="24"/>
        </w:rPr>
        <w:lastRenderedPageBreak/>
        <w:t>TABLE OF CONTENTS</w:t>
      </w:r>
    </w:p>
    <w:p w:rsidR="00C62626" w:rsidRPr="0088017A" w:rsidRDefault="00C62626">
      <w:pPr>
        <w:pStyle w:val="Comment"/>
      </w:pPr>
      <w:r w:rsidRPr="0088017A">
        <w:t xml:space="preserve">SPEC NOTE: The Table of Contents is automatically generated.  When the template is first opened, page numbers may be incorrect.  To update, right click anywhere in the field (shaded area) and select Update Field, Update entire table.  When printing, the update prompt </w:t>
      </w:r>
      <w:r w:rsidR="003D1418" w:rsidRPr="0088017A">
        <w:t>ma</w:t>
      </w:r>
      <w:r w:rsidRPr="0088017A">
        <w:t>y display if any changes have been made since the previous update.</w:t>
      </w:r>
    </w:p>
    <w:p w:rsidR="00C62626" w:rsidRPr="0088017A" w:rsidRDefault="00C62626">
      <w:pPr>
        <w:pStyle w:val="TOC1A"/>
      </w:pPr>
      <w:r w:rsidRPr="0088017A">
        <w:t xml:space="preserve">PART A - </w:t>
      </w:r>
      <w:r w:rsidR="009562CF" w:rsidRPr="0088017A">
        <w:t>BID</w:t>
      </w:r>
      <w:r w:rsidRPr="0088017A">
        <w:t xml:space="preserve"> SUBMISSION</w:t>
      </w:r>
    </w:p>
    <w:p w:rsidR="008F71B2" w:rsidRPr="0088017A" w:rsidRDefault="00055D2F">
      <w:pPr>
        <w:pStyle w:val="TOC3"/>
        <w:rPr>
          <w:rFonts w:asciiTheme="minorHAnsi" w:eastAsiaTheme="minorEastAsia" w:hAnsiTheme="minorHAnsi" w:cstheme="minorBidi"/>
          <w:sz w:val="22"/>
          <w:szCs w:val="22"/>
          <w:lang w:val="en-US"/>
        </w:rPr>
      </w:pPr>
      <w:r w:rsidRPr="0088017A">
        <w:rPr>
          <w:noProof w:val="0"/>
          <w:szCs w:val="24"/>
        </w:rPr>
        <w:fldChar w:fldCharType="begin"/>
      </w:r>
      <w:r w:rsidRPr="0088017A">
        <w:rPr>
          <w:noProof w:val="0"/>
          <w:szCs w:val="24"/>
        </w:rPr>
        <w:instrText xml:space="preserve"> TOC \o "1-4"</w:instrText>
      </w:r>
      <w:r w:rsidR="0022573E" w:rsidRPr="0088017A">
        <w:rPr>
          <w:noProof w:val="0"/>
          <w:szCs w:val="24"/>
        </w:rPr>
        <w:instrText xml:space="preserve"> \n "1-2"</w:instrText>
      </w:r>
      <w:r w:rsidRPr="0088017A">
        <w:rPr>
          <w:noProof w:val="0"/>
          <w:szCs w:val="24"/>
        </w:rPr>
        <w:instrText xml:space="preserve"> \h \z \t "PARTHEADING,1,CLAUSEHEADING,3,SUBHEADING,2,FORMHEADING,3,FORMHEADING H,4,TABLEHEADING,4" </w:instrText>
      </w:r>
      <w:r w:rsidRPr="0088017A">
        <w:rPr>
          <w:noProof w:val="0"/>
          <w:szCs w:val="24"/>
        </w:rPr>
        <w:fldChar w:fldCharType="separate"/>
      </w:r>
      <w:hyperlink w:anchor="_Toc443923967" w:history="1">
        <w:r w:rsidR="008F71B2" w:rsidRPr="0088017A">
          <w:rPr>
            <w:rStyle w:val="Hyperlink"/>
          </w:rPr>
          <w:t>Form B: Prices</w:t>
        </w:r>
        <w:r w:rsidR="008F71B2" w:rsidRPr="0088017A">
          <w:rPr>
            <w:webHidden/>
          </w:rPr>
          <w:tab/>
        </w:r>
        <w:r w:rsidR="008F71B2" w:rsidRPr="0088017A">
          <w:rPr>
            <w:webHidden/>
          </w:rPr>
          <w:fldChar w:fldCharType="begin"/>
        </w:r>
        <w:r w:rsidR="008F71B2" w:rsidRPr="0088017A">
          <w:rPr>
            <w:webHidden/>
          </w:rPr>
          <w:instrText xml:space="preserve"> PAGEREF _Toc443923967 \h </w:instrText>
        </w:r>
        <w:r w:rsidR="008F71B2" w:rsidRPr="0088017A">
          <w:rPr>
            <w:webHidden/>
          </w:rPr>
        </w:r>
        <w:r w:rsidR="008F71B2" w:rsidRPr="0088017A">
          <w:rPr>
            <w:webHidden/>
          </w:rPr>
          <w:fldChar w:fldCharType="separate"/>
        </w:r>
        <w:r w:rsidR="008F71B2" w:rsidRPr="0088017A">
          <w:rPr>
            <w:webHidden/>
          </w:rPr>
          <w:t>1</w:t>
        </w:r>
        <w:r w:rsidR="008F71B2" w:rsidRPr="0088017A">
          <w:rPr>
            <w:webHidden/>
          </w:rPr>
          <w:fldChar w:fldCharType="end"/>
        </w:r>
      </w:hyperlink>
    </w:p>
    <w:p w:rsidR="008F71B2" w:rsidRPr="0088017A" w:rsidRDefault="00FC1524">
      <w:pPr>
        <w:pStyle w:val="TOC1"/>
        <w:rPr>
          <w:rFonts w:asciiTheme="minorHAnsi" w:eastAsiaTheme="minorEastAsia" w:hAnsiTheme="minorHAnsi" w:cstheme="minorBidi"/>
          <w:b w:val="0"/>
          <w:caps w:val="0"/>
          <w:sz w:val="22"/>
          <w:szCs w:val="22"/>
          <w:lang w:val="en-US"/>
        </w:rPr>
      </w:pPr>
      <w:hyperlink w:anchor="_Toc443923968" w:history="1">
        <w:r w:rsidR="008F71B2" w:rsidRPr="0088017A">
          <w:rPr>
            <w:rStyle w:val="Hyperlink"/>
          </w:rPr>
          <w:t>PART B - Bidding Procedures</w:t>
        </w:r>
      </w:hyperlink>
    </w:p>
    <w:p w:rsidR="008F71B2" w:rsidRPr="0088017A" w:rsidRDefault="00FC1524">
      <w:pPr>
        <w:pStyle w:val="TOC3"/>
        <w:rPr>
          <w:rFonts w:asciiTheme="minorHAnsi" w:eastAsiaTheme="minorEastAsia" w:hAnsiTheme="minorHAnsi" w:cstheme="minorBidi"/>
          <w:sz w:val="22"/>
          <w:szCs w:val="22"/>
          <w:lang w:val="en-US"/>
        </w:rPr>
      </w:pPr>
      <w:hyperlink w:anchor="_Toc443923969" w:history="1">
        <w:r w:rsidR="008F71B2" w:rsidRPr="0088017A">
          <w:rPr>
            <w:rStyle w:val="Hyperlink"/>
          </w:rPr>
          <w:t>B1.</w:t>
        </w:r>
        <w:r w:rsidR="008F71B2" w:rsidRPr="0088017A">
          <w:rPr>
            <w:rFonts w:asciiTheme="minorHAnsi" w:eastAsiaTheme="minorEastAsia" w:hAnsiTheme="minorHAnsi" w:cstheme="minorBidi"/>
            <w:sz w:val="22"/>
            <w:szCs w:val="22"/>
            <w:lang w:val="en-US"/>
          </w:rPr>
          <w:tab/>
        </w:r>
        <w:r w:rsidR="008F71B2" w:rsidRPr="0088017A">
          <w:rPr>
            <w:rStyle w:val="Hyperlink"/>
          </w:rPr>
          <w:t>Confidentiality</w:t>
        </w:r>
        <w:r w:rsidR="008F71B2" w:rsidRPr="0088017A">
          <w:rPr>
            <w:webHidden/>
          </w:rPr>
          <w:tab/>
        </w:r>
        <w:r w:rsidR="008F71B2" w:rsidRPr="0088017A">
          <w:rPr>
            <w:webHidden/>
          </w:rPr>
          <w:fldChar w:fldCharType="begin"/>
        </w:r>
        <w:r w:rsidR="008F71B2" w:rsidRPr="0088017A">
          <w:rPr>
            <w:webHidden/>
          </w:rPr>
          <w:instrText xml:space="preserve"> PAGEREF _Toc443923969 \h </w:instrText>
        </w:r>
        <w:r w:rsidR="008F71B2" w:rsidRPr="0088017A">
          <w:rPr>
            <w:webHidden/>
          </w:rPr>
        </w:r>
        <w:r w:rsidR="008F71B2" w:rsidRPr="0088017A">
          <w:rPr>
            <w:webHidden/>
          </w:rPr>
          <w:fldChar w:fldCharType="separate"/>
        </w:r>
        <w:r w:rsidR="008F71B2" w:rsidRPr="0088017A">
          <w:rPr>
            <w:webHidden/>
          </w:rPr>
          <w:t>1</w:t>
        </w:r>
        <w:r w:rsidR="008F71B2" w:rsidRPr="0088017A">
          <w:rPr>
            <w:webHidden/>
          </w:rPr>
          <w:fldChar w:fldCharType="end"/>
        </w:r>
      </w:hyperlink>
    </w:p>
    <w:p w:rsidR="008F71B2" w:rsidRPr="0088017A" w:rsidRDefault="00FC1524">
      <w:pPr>
        <w:pStyle w:val="TOC3"/>
        <w:rPr>
          <w:rFonts w:asciiTheme="minorHAnsi" w:eastAsiaTheme="minorEastAsia" w:hAnsiTheme="minorHAnsi" w:cstheme="minorBidi"/>
          <w:sz w:val="22"/>
          <w:szCs w:val="22"/>
          <w:lang w:val="en-US"/>
        </w:rPr>
      </w:pPr>
      <w:hyperlink w:anchor="_Toc443923970" w:history="1">
        <w:r w:rsidR="008F71B2" w:rsidRPr="0088017A">
          <w:rPr>
            <w:rStyle w:val="Hyperlink"/>
          </w:rPr>
          <w:t>B2.</w:t>
        </w:r>
        <w:r w:rsidR="008F71B2" w:rsidRPr="0088017A">
          <w:rPr>
            <w:rFonts w:asciiTheme="minorHAnsi" w:eastAsiaTheme="minorEastAsia" w:hAnsiTheme="minorHAnsi" w:cstheme="minorBidi"/>
            <w:sz w:val="22"/>
            <w:szCs w:val="22"/>
            <w:lang w:val="en-US"/>
          </w:rPr>
          <w:tab/>
        </w:r>
        <w:r w:rsidR="008F71B2" w:rsidRPr="0088017A">
          <w:rPr>
            <w:rStyle w:val="Hyperlink"/>
          </w:rPr>
          <w:t>Substitutes</w:t>
        </w:r>
        <w:r w:rsidR="008F71B2" w:rsidRPr="0088017A">
          <w:rPr>
            <w:webHidden/>
          </w:rPr>
          <w:tab/>
        </w:r>
        <w:r w:rsidR="008F71B2" w:rsidRPr="0088017A">
          <w:rPr>
            <w:webHidden/>
          </w:rPr>
          <w:fldChar w:fldCharType="begin"/>
        </w:r>
        <w:r w:rsidR="008F71B2" w:rsidRPr="0088017A">
          <w:rPr>
            <w:webHidden/>
          </w:rPr>
          <w:instrText xml:space="preserve"> PAGEREF _Toc443923970 \h </w:instrText>
        </w:r>
        <w:r w:rsidR="008F71B2" w:rsidRPr="0088017A">
          <w:rPr>
            <w:webHidden/>
          </w:rPr>
        </w:r>
        <w:r w:rsidR="008F71B2" w:rsidRPr="0088017A">
          <w:rPr>
            <w:webHidden/>
          </w:rPr>
          <w:fldChar w:fldCharType="separate"/>
        </w:r>
        <w:r w:rsidR="008F71B2" w:rsidRPr="0088017A">
          <w:rPr>
            <w:webHidden/>
          </w:rPr>
          <w:t>1</w:t>
        </w:r>
        <w:r w:rsidR="008F71B2" w:rsidRPr="0088017A">
          <w:rPr>
            <w:webHidden/>
          </w:rPr>
          <w:fldChar w:fldCharType="end"/>
        </w:r>
      </w:hyperlink>
    </w:p>
    <w:p w:rsidR="008F71B2" w:rsidRPr="0088017A" w:rsidRDefault="00FC1524">
      <w:pPr>
        <w:pStyle w:val="TOC3"/>
        <w:rPr>
          <w:rFonts w:asciiTheme="minorHAnsi" w:eastAsiaTheme="minorEastAsia" w:hAnsiTheme="minorHAnsi" w:cstheme="minorBidi"/>
          <w:sz w:val="22"/>
          <w:szCs w:val="22"/>
          <w:lang w:val="en-US"/>
        </w:rPr>
      </w:pPr>
      <w:hyperlink w:anchor="_Toc443923971" w:history="1">
        <w:r w:rsidR="008F71B2" w:rsidRPr="0088017A">
          <w:rPr>
            <w:rStyle w:val="Hyperlink"/>
          </w:rPr>
          <w:t>B3.</w:t>
        </w:r>
        <w:r w:rsidR="008F71B2" w:rsidRPr="0088017A">
          <w:rPr>
            <w:rFonts w:asciiTheme="minorHAnsi" w:eastAsiaTheme="minorEastAsia" w:hAnsiTheme="minorHAnsi" w:cstheme="minorBidi"/>
            <w:sz w:val="22"/>
            <w:szCs w:val="22"/>
            <w:lang w:val="en-US"/>
          </w:rPr>
          <w:tab/>
        </w:r>
        <w:r w:rsidR="008F71B2" w:rsidRPr="0088017A">
          <w:rPr>
            <w:rStyle w:val="Hyperlink"/>
          </w:rPr>
          <w:t>Prices</w:t>
        </w:r>
        <w:r w:rsidR="008F71B2" w:rsidRPr="0088017A">
          <w:rPr>
            <w:webHidden/>
          </w:rPr>
          <w:tab/>
        </w:r>
        <w:r w:rsidR="008F71B2" w:rsidRPr="0088017A">
          <w:rPr>
            <w:webHidden/>
          </w:rPr>
          <w:fldChar w:fldCharType="begin"/>
        </w:r>
        <w:r w:rsidR="008F71B2" w:rsidRPr="0088017A">
          <w:rPr>
            <w:webHidden/>
          </w:rPr>
          <w:instrText xml:space="preserve"> PAGEREF _Toc443923971 \h </w:instrText>
        </w:r>
        <w:r w:rsidR="008F71B2" w:rsidRPr="0088017A">
          <w:rPr>
            <w:webHidden/>
          </w:rPr>
        </w:r>
        <w:r w:rsidR="008F71B2" w:rsidRPr="0088017A">
          <w:rPr>
            <w:webHidden/>
          </w:rPr>
          <w:fldChar w:fldCharType="separate"/>
        </w:r>
        <w:r w:rsidR="008F71B2" w:rsidRPr="0088017A">
          <w:rPr>
            <w:webHidden/>
          </w:rPr>
          <w:t>1</w:t>
        </w:r>
        <w:r w:rsidR="008F71B2" w:rsidRPr="0088017A">
          <w:rPr>
            <w:webHidden/>
          </w:rPr>
          <w:fldChar w:fldCharType="end"/>
        </w:r>
      </w:hyperlink>
    </w:p>
    <w:p w:rsidR="008F71B2" w:rsidRPr="0088017A" w:rsidRDefault="00FC1524">
      <w:pPr>
        <w:pStyle w:val="TOC1"/>
        <w:rPr>
          <w:rFonts w:asciiTheme="minorHAnsi" w:eastAsiaTheme="minorEastAsia" w:hAnsiTheme="minorHAnsi" w:cstheme="minorBidi"/>
          <w:b w:val="0"/>
          <w:caps w:val="0"/>
          <w:sz w:val="22"/>
          <w:szCs w:val="22"/>
          <w:lang w:val="en-US"/>
        </w:rPr>
      </w:pPr>
      <w:hyperlink w:anchor="_Toc443923972" w:history="1">
        <w:r w:rsidR="008F71B2" w:rsidRPr="0088017A">
          <w:rPr>
            <w:rStyle w:val="Hyperlink"/>
          </w:rPr>
          <w:t>PART C - General Conditions</w:t>
        </w:r>
      </w:hyperlink>
    </w:p>
    <w:p w:rsidR="008F71B2" w:rsidRPr="0088017A" w:rsidRDefault="00FC1524">
      <w:pPr>
        <w:pStyle w:val="TOC1"/>
        <w:rPr>
          <w:rFonts w:asciiTheme="minorHAnsi" w:eastAsiaTheme="minorEastAsia" w:hAnsiTheme="minorHAnsi" w:cstheme="minorBidi"/>
          <w:b w:val="0"/>
          <w:caps w:val="0"/>
          <w:sz w:val="22"/>
          <w:szCs w:val="22"/>
          <w:lang w:val="en-US"/>
        </w:rPr>
      </w:pPr>
      <w:hyperlink w:anchor="_Toc443923973" w:history="1">
        <w:r w:rsidR="008F71B2" w:rsidRPr="0088017A">
          <w:rPr>
            <w:rStyle w:val="Hyperlink"/>
          </w:rPr>
          <w:t>PART D - Supplemental Conditions</w:t>
        </w:r>
      </w:hyperlink>
    </w:p>
    <w:p w:rsidR="008F71B2" w:rsidRPr="0088017A" w:rsidRDefault="00FC1524">
      <w:pPr>
        <w:pStyle w:val="TOC2"/>
        <w:rPr>
          <w:rFonts w:asciiTheme="minorHAnsi" w:eastAsiaTheme="minorEastAsia" w:hAnsiTheme="minorHAnsi" w:cstheme="minorBidi"/>
          <w:b w:val="0"/>
          <w:noProof/>
          <w:sz w:val="22"/>
          <w:szCs w:val="22"/>
          <w:lang w:val="en-US"/>
        </w:rPr>
      </w:pPr>
      <w:hyperlink w:anchor="_Toc443923974" w:history="1">
        <w:r w:rsidR="008F71B2" w:rsidRPr="0088017A">
          <w:rPr>
            <w:rStyle w:val="Hyperlink"/>
            <w:noProof/>
          </w:rPr>
          <w:t>General</w:t>
        </w:r>
      </w:hyperlink>
    </w:p>
    <w:p w:rsidR="008F71B2" w:rsidRPr="0088017A" w:rsidRDefault="00FC1524">
      <w:pPr>
        <w:pStyle w:val="TOC3"/>
        <w:rPr>
          <w:rFonts w:asciiTheme="minorHAnsi" w:eastAsiaTheme="minorEastAsia" w:hAnsiTheme="minorHAnsi" w:cstheme="minorBidi"/>
          <w:sz w:val="22"/>
          <w:szCs w:val="22"/>
          <w:lang w:val="en-US"/>
        </w:rPr>
      </w:pPr>
      <w:hyperlink w:anchor="_Toc443923975" w:history="1">
        <w:r w:rsidR="008F71B2" w:rsidRPr="0088017A">
          <w:rPr>
            <w:rStyle w:val="Hyperlink"/>
          </w:rPr>
          <w:t>D1.</w:t>
        </w:r>
        <w:r w:rsidR="008F71B2" w:rsidRPr="0088017A">
          <w:rPr>
            <w:rFonts w:asciiTheme="minorHAnsi" w:eastAsiaTheme="minorEastAsia" w:hAnsiTheme="minorHAnsi" w:cstheme="minorBidi"/>
            <w:sz w:val="22"/>
            <w:szCs w:val="22"/>
            <w:lang w:val="en-US"/>
          </w:rPr>
          <w:tab/>
        </w:r>
        <w:r w:rsidR="008F71B2" w:rsidRPr="0088017A">
          <w:rPr>
            <w:rStyle w:val="Hyperlink"/>
          </w:rPr>
          <w:t>Definitions</w:t>
        </w:r>
        <w:r w:rsidR="008F71B2" w:rsidRPr="0088017A">
          <w:rPr>
            <w:webHidden/>
          </w:rPr>
          <w:tab/>
        </w:r>
        <w:r w:rsidR="008F71B2" w:rsidRPr="0088017A">
          <w:rPr>
            <w:webHidden/>
          </w:rPr>
          <w:fldChar w:fldCharType="begin"/>
        </w:r>
        <w:r w:rsidR="008F71B2" w:rsidRPr="0088017A">
          <w:rPr>
            <w:webHidden/>
          </w:rPr>
          <w:instrText xml:space="preserve"> PAGEREF _Toc443923975 \h </w:instrText>
        </w:r>
        <w:r w:rsidR="008F71B2" w:rsidRPr="0088017A">
          <w:rPr>
            <w:webHidden/>
          </w:rPr>
        </w:r>
        <w:r w:rsidR="008F71B2" w:rsidRPr="0088017A">
          <w:rPr>
            <w:webHidden/>
          </w:rPr>
          <w:fldChar w:fldCharType="separate"/>
        </w:r>
        <w:r w:rsidR="008F71B2" w:rsidRPr="0088017A">
          <w:rPr>
            <w:webHidden/>
          </w:rPr>
          <w:t>1</w:t>
        </w:r>
        <w:r w:rsidR="008F71B2" w:rsidRPr="0088017A">
          <w:rPr>
            <w:webHidden/>
          </w:rPr>
          <w:fldChar w:fldCharType="end"/>
        </w:r>
      </w:hyperlink>
    </w:p>
    <w:p w:rsidR="008F71B2" w:rsidRPr="0088017A" w:rsidRDefault="00FC1524">
      <w:pPr>
        <w:pStyle w:val="TOC2"/>
        <w:rPr>
          <w:rFonts w:asciiTheme="minorHAnsi" w:eastAsiaTheme="minorEastAsia" w:hAnsiTheme="minorHAnsi" w:cstheme="minorBidi"/>
          <w:b w:val="0"/>
          <w:noProof/>
          <w:sz w:val="22"/>
          <w:szCs w:val="22"/>
          <w:lang w:val="en-US"/>
        </w:rPr>
      </w:pPr>
      <w:hyperlink w:anchor="_Toc443923976" w:history="1">
        <w:r w:rsidR="008F71B2" w:rsidRPr="0088017A">
          <w:rPr>
            <w:rStyle w:val="Hyperlink"/>
            <w:noProof/>
          </w:rPr>
          <w:t>Standardization</w:t>
        </w:r>
      </w:hyperlink>
    </w:p>
    <w:p w:rsidR="008F71B2" w:rsidRPr="0088017A" w:rsidRDefault="00FC1524">
      <w:pPr>
        <w:pStyle w:val="TOC3"/>
        <w:rPr>
          <w:rFonts w:asciiTheme="minorHAnsi" w:eastAsiaTheme="minorEastAsia" w:hAnsiTheme="minorHAnsi" w:cstheme="minorBidi"/>
          <w:sz w:val="22"/>
          <w:szCs w:val="22"/>
          <w:lang w:val="en-US"/>
        </w:rPr>
      </w:pPr>
      <w:hyperlink w:anchor="_Toc443923977" w:history="1">
        <w:r w:rsidR="008F71B2" w:rsidRPr="0088017A">
          <w:rPr>
            <w:rStyle w:val="Hyperlink"/>
          </w:rPr>
          <w:t>D2.</w:t>
        </w:r>
        <w:r w:rsidR="008F71B2" w:rsidRPr="0088017A">
          <w:rPr>
            <w:rFonts w:asciiTheme="minorHAnsi" w:eastAsiaTheme="minorEastAsia" w:hAnsiTheme="minorHAnsi" w:cstheme="minorBidi"/>
            <w:sz w:val="22"/>
            <w:szCs w:val="22"/>
            <w:lang w:val="en-US"/>
          </w:rPr>
          <w:tab/>
        </w:r>
        <w:r w:rsidR="008F71B2" w:rsidRPr="0088017A">
          <w:rPr>
            <w:rStyle w:val="Hyperlink"/>
          </w:rPr>
          <w:t>Standardized Goods</w:t>
        </w:r>
        <w:r w:rsidR="008F71B2" w:rsidRPr="0088017A">
          <w:rPr>
            <w:webHidden/>
          </w:rPr>
          <w:tab/>
        </w:r>
        <w:r w:rsidR="008F71B2" w:rsidRPr="0088017A">
          <w:rPr>
            <w:webHidden/>
          </w:rPr>
          <w:fldChar w:fldCharType="begin"/>
        </w:r>
        <w:r w:rsidR="008F71B2" w:rsidRPr="0088017A">
          <w:rPr>
            <w:webHidden/>
          </w:rPr>
          <w:instrText xml:space="preserve"> PAGEREF _Toc443923977 \h </w:instrText>
        </w:r>
        <w:r w:rsidR="008F71B2" w:rsidRPr="0088017A">
          <w:rPr>
            <w:webHidden/>
          </w:rPr>
        </w:r>
        <w:r w:rsidR="008F71B2" w:rsidRPr="0088017A">
          <w:rPr>
            <w:webHidden/>
          </w:rPr>
          <w:fldChar w:fldCharType="separate"/>
        </w:r>
        <w:r w:rsidR="008F71B2" w:rsidRPr="0088017A">
          <w:rPr>
            <w:webHidden/>
          </w:rPr>
          <w:t>1</w:t>
        </w:r>
        <w:r w:rsidR="008F71B2" w:rsidRPr="0088017A">
          <w:rPr>
            <w:webHidden/>
          </w:rPr>
          <w:fldChar w:fldCharType="end"/>
        </w:r>
      </w:hyperlink>
    </w:p>
    <w:p w:rsidR="008F71B2" w:rsidRPr="0088017A" w:rsidRDefault="00FC1524">
      <w:pPr>
        <w:pStyle w:val="TOC3"/>
        <w:rPr>
          <w:rFonts w:asciiTheme="minorHAnsi" w:eastAsiaTheme="minorEastAsia" w:hAnsiTheme="minorHAnsi" w:cstheme="minorBidi"/>
          <w:sz w:val="22"/>
          <w:szCs w:val="22"/>
          <w:lang w:val="en-US"/>
        </w:rPr>
      </w:pPr>
      <w:hyperlink w:anchor="_Toc443923978" w:history="1">
        <w:r w:rsidR="008F71B2" w:rsidRPr="0088017A">
          <w:rPr>
            <w:rStyle w:val="Hyperlink"/>
          </w:rPr>
          <w:t>D3.</w:t>
        </w:r>
        <w:r w:rsidR="008F71B2" w:rsidRPr="0088017A">
          <w:rPr>
            <w:rFonts w:asciiTheme="minorHAnsi" w:eastAsiaTheme="minorEastAsia" w:hAnsiTheme="minorHAnsi" w:cstheme="minorBidi"/>
            <w:sz w:val="22"/>
            <w:szCs w:val="22"/>
            <w:lang w:val="en-US"/>
          </w:rPr>
          <w:tab/>
        </w:r>
        <w:r w:rsidR="008F71B2" w:rsidRPr="0088017A">
          <w:rPr>
            <w:rStyle w:val="Hyperlink"/>
          </w:rPr>
          <w:t>Contractual Arrangement</w:t>
        </w:r>
        <w:r w:rsidR="008F71B2" w:rsidRPr="0088017A">
          <w:rPr>
            <w:webHidden/>
          </w:rPr>
          <w:tab/>
        </w:r>
        <w:r w:rsidR="008F71B2" w:rsidRPr="0088017A">
          <w:rPr>
            <w:webHidden/>
          </w:rPr>
          <w:fldChar w:fldCharType="begin"/>
        </w:r>
        <w:r w:rsidR="008F71B2" w:rsidRPr="0088017A">
          <w:rPr>
            <w:webHidden/>
          </w:rPr>
          <w:instrText xml:space="preserve"> PAGEREF _Toc443923978 \h </w:instrText>
        </w:r>
        <w:r w:rsidR="008F71B2" w:rsidRPr="0088017A">
          <w:rPr>
            <w:webHidden/>
          </w:rPr>
        </w:r>
        <w:r w:rsidR="008F71B2" w:rsidRPr="0088017A">
          <w:rPr>
            <w:webHidden/>
          </w:rPr>
          <w:fldChar w:fldCharType="separate"/>
        </w:r>
        <w:r w:rsidR="008F71B2" w:rsidRPr="0088017A">
          <w:rPr>
            <w:webHidden/>
          </w:rPr>
          <w:t>1</w:t>
        </w:r>
        <w:r w:rsidR="008F71B2" w:rsidRPr="0088017A">
          <w:rPr>
            <w:webHidden/>
          </w:rPr>
          <w:fldChar w:fldCharType="end"/>
        </w:r>
      </w:hyperlink>
    </w:p>
    <w:p w:rsidR="008F71B2" w:rsidRPr="0088017A" w:rsidRDefault="00FC1524">
      <w:pPr>
        <w:pStyle w:val="TOC3"/>
        <w:rPr>
          <w:rFonts w:asciiTheme="minorHAnsi" w:eastAsiaTheme="minorEastAsia" w:hAnsiTheme="minorHAnsi" w:cstheme="minorBidi"/>
          <w:sz w:val="22"/>
          <w:szCs w:val="22"/>
          <w:lang w:val="en-US"/>
        </w:rPr>
      </w:pPr>
      <w:hyperlink w:anchor="_Toc443923979" w:history="1">
        <w:r w:rsidR="008F71B2" w:rsidRPr="0088017A">
          <w:rPr>
            <w:rStyle w:val="Hyperlink"/>
          </w:rPr>
          <w:t>D4.</w:t>
        </w:r>
        <w:r w:rsidR="008F71B2" w:rsidRPr="0088017A">
          <w:rPr>
            <w:rFonts w:asciiTheme="minorHAnsi" w:eastAsiaTheme="minorEastAsia" w:hAnsiTheme="minorHAnsi" w:cstheme="minorBidi"/>
            <w:sz w:val="22"/>
            <w:szCs w:val="22"/>
            <w:lang w:val="en-US"/>
          </w:rPr>
          <w:tab/>
        </w:r>
        <w:r w:rsidR="008F71B2" w:rsidRPr="0088017A">
          <w:rPr>
            <w:rStyle w:val="Hyperlink"/>
          </w:rPr>
          <w:t>Payment of Standardization Vendors</w:t>
        </w:r>
        <w:r w:rsidR="008F71B2" w:rsidRPr="0088017A">
          <w:rPr>
            <w:webHidden/>
          </w:rPr>
          <w:tab/>
        </w:r>
        <w:r w:rsidR="008F71B2" w:rsidRPr="0088017A">
          <w:rPr>
            <w:webHidden/>
          </w:rPr>
          <w:fldChar w:fldCharType="begin"/>
        </w:r>
        <w:r w:rsidR="008F71B2" w:rsidRPr="0088017A">
          <w:rPr>
            <w:webHidden/>
          </w:rPr>
          <w:instrText xml:space="preserve"> PAGEREF _Toc443923979 \h </w:instrText>
        </w:r>
        <w:r w:rsidR="008F71B2" w:rsidRPr="0088017A">
          <w:rPr>
            <w:webHidden/>
          </w:rPr>
        </w:r>
        <w:r w:rsidR="008F71B2" w:rsidRPr="0088017A">
          <w:rPr>
            <w:webHidden/>
          </w:rPr>
          <w:fldChar w:fldCharType="separate"/>
        </w:r>
        <w:r w:rsidR="008F71B2" w:rsidRPr="0088017A">
          <w:rPr>
            <w:webHidden/>
          </w:rPr>
          <w:t>1</w:t>
        </w:r>
        <w:r w:rsidR="008F71B2" w:rsidRPr="0088017A">
          <w:rPr>
            <w:webHidden/>
          </w:rPr>
          <w:fldChar w:fldCharType="end"/>
        </w:r>
      </w:hyperlink>
    </w:p>
    <w:p w:rsidR="008F71B2" w:rsidRPr="0088017A" w:rsidRDefault="00FC1524">
      <w:pPr>
        <w:pStyle w:val="TOC2"/>
        <w:rPr>
          <w:rFonts w:asciiTheme="minorHAnsi" w:eastAsiaTheme="minorEastAsia" w:hAnsiTheme="minorHAnsi" w:cstheme="minorBidi"/>
          <w:b w:val="0"/>
          <w:noProof/>
          <w:sz w:val="22"/>
          <w:szCs w:val="22"/>
          <w:lang w:val="en-US"/>
        </w:rPr>
      </w:pPr>
      <w:hyperlink w:anchor="_Toc443923980" w:history="1">
        <w:r w:rsidR="008F71B2" w:rsidRPr="0088017A">
          <w:rPr>
            <w:rStyle w:val="Hyperlink"/>
            <w:noProof/>
          </w:rPr>
          <w:t>Measurement and Payment</w:t>
        </w:r>
      </w:hyperlink>
    </w:p>
    <w:p w:rsidR="008F71B2" w:rsidRPr="0088017A" w:rsidRDefault="00FC1524">
      <w:pPr>
        <w:pStyle w:val="TOC3"/>
        <w:rPr>
          <w:rFonts w:asciiTheme="minorHAnsi" w:eastAsiaTheme="minorEastAsia" w:hAnsiTheme="minorHAnsi" w:cstheme="minorBidi"/>
          <w:sz w:val="22"/>
          <w:szCs w:val="22"/>
          <w:lang w:val="en-US"/>
        </w:rPr>
      </w:pPr>
      <w:hyperlink w:anchor="_Toc443923981" w:history="1">
        <w:r w:rsidR="008F71B2" w:rsidRPr="0088017A">
          <w:rPr>
            <w:rStyle w:val="Hyperlink"/>
          </w:rPr>
          <w:t>D5.</w:t>
        </w:r>
        <w:r w:rsidR="008F71B2" w:rsidRPr="0088017A">
          <w:rPr>
            <w:rFonts w:asciiTheme="minorHAnsi" w:eastAsiaTheme="minorEastAsia" w:hAnsiTheme="minorHAnsi" w:cstheme="minorBidi"/>
            <w:sz w:val="22"/>
            <w:szCs w:val="22"/>
            <w:lang w:val="en-US"/>
          </w:rPr>
          <w:tab/>
        </w:r>
        <w:r w:rsidR="008F71B2" w:rsidRPr="0088017A">
          <w:rPr>
            <w:rStyle w:val="Hyperlink"/>
          </w:rPr>
          <w:t>Payment Schedule</w:t>
        </w:r>
        <w:r w:rsidR="008F71B2" w:rsidRPr="0088017A">
          <w:rPr>
            <w:webHidden/>
          </w:rPr>
          <w:tab/>
        </w:r>
        <w:r w:rsidR="008F71B2" w:rsidRPr="0088017A">
          <w:rPr>
            <w:webHidden/>
          </w:rPr>
          <w:fldChar w:fldCharType="begin"/>
        </w:r>
        <w:r w:rsidR="008F71B2" w:rsidRPr="0088017A">
          <w:rPr>
            <w:webHidden/>
          </w:rPr>
          <w:instrText xml:space="preserve"> PAGEREF _Toc443923981 \h </w:instrText>
        </w:r>
        <w:r w:rsidR="008F71B2" w:rsidRPr="0088017A">
          <w:rPr>
            <w:webHidden/>
          </w:rPr>
        </w:r>
        <w:r w:rsidR="008F71B2" w:rsidRPr="0088017A">
          <w:rPr>
            <w:webHidden/>
          </w:rPr>
          <w:fldChar w:fldCharType="separate"/>
        </w:r>
        <w:r w:rsidR="008F71B2" w:rsidRPr="0088017A">
          <w:rPr>
            <w:webHidden/>
          </w:rPr>
          <w:t>2</w:t>
        </w:r>
        <w:r w:rsidR="008F71B2" w:rsidRPr="0088017A">
          <w:rPr>
            <w:webHidden/>
          </w:rPr>
          <w:fldChar w:fldCharType="end"/>
        </w:r>
      </w:hyperlink>
    </w:p>
    <w:p w:rsidR="008F71B2" w:rsidRPr="0088017A" w:rsidRDefault="00FC1524">
      <w:pPr>
        <w:pStyle w:val="TOC1"/>
        <w:rPr>
          <w:rFonts w:asciiTheme="minorHAnsi" w:eastAsiaTheme="minorEastAsia" w:hAnsiTheme="minorHAnsi" w:cstheme="minorBidi"/>
          <w:b w:val="0"/>
          <w:caps w:val="0"/>
          <w:sz w:val="22"/>
          <w:szCs w:val="22"/>
          <w:lang w:val="en-US"/>
        </w:rPr>
      </w:pPr>
      <w:hyperlink w:anchor="_Toc443923982" w:history="1">
        <w:r w:rsidR="008F71B2" w:rsidRPr="0088017A">
          <w:rPr>
            <w:rStyle w:val="Hyperlink"/>
          </w:rPr>
          <w:t>PART E - Specifications</w:t>
        </w:r>
      </w:hyperlink>
    </w:p>
    <w:p w:rsidR="008F71B2" w:rsidRPr="0088017A" w:rsidRDefault="00FC1524">
      <w:pPr>
        <w:pStyle w:val="TOC2"/>
        <w:rPr>
          <w:rFonts w:asciiTheme="minorHAnsi" w:eastAsiaTheme="minorEastAsia" w:hAnsiTheme="minorHAnsi" w:cstheme="minorBidi"/>
          <w:b w:val="0"/>
          <w:noProof/>
          <w:sz w:val="22"/>
          <w:szCs w:val="22"/>
          <w:lang w:val="en-US"/>
        </w:rPr>
      </w:pPr>
      <w:hyperlink w:anchor="_Toc443923983" w:history="1">
        <w:r w:rsidR="008F71B2" w:rsidRPr="0088017A">
          <w:rPr>
            <w:rStyle w:val="Hyperlink"/>
            <w:noProof/>
          </w:rPr>
          <w:t>City Supplied Standardized Goods</w:t>
        </w:r>
      </w:hyperlink>
    </w:p>
    <w:p w:rsidR="008F71B2" w:rsidRPr="0088017A" w:rsidRDefault="00FC1524">
      <w:pPr>
        <w:pStyle w:val="TOC3"/>
        <w:rPr>
          <w:rFonts w:asciiTheme="minorHAnsi" w:eastAsiaTheme="minorEastAsia" w:hAnsiTheme="minorHAnsi" w:cstheme="minorBidi"/>
          <w:sz w:val="22"/>
          <w:szCs w:val="22"/>
          <w:lang w:val="en-US"/>
        </w:rPr>
      </w:pPr>
      <w:hyperlink w:anchor="_Toc443923984" w:history="1">
        <w:r w:rsidR="008F71B2" w:rsidRPr="0088017A">
          <w:rPr>
            <w:rStyle w:val="Hyperlink"/>
          </w:rPr>
          <w:t>E1.</w:t>
        </w:r>
        <w:r w:rsidR="008F71B2" w:rsidRPr="0088017A">
          <w:rPr>
            <w:rFonts w:asciiTheme="minorHAnsi" w:eastAsiaTheme="minorEastAsia" w:hAnsiTheme="minorHAnsi" w:cstheme="minorBidi"/>
            <w:sz w:val="22"/>
            <w:szCs w:val="22"/>
            <w:lang w:val="en-US"/>
          </w:rPr>
          <w:tab/>
        </w:r>
        <w:r w:rsidR="008F71B2" w:rsidRPr="0088017A">
          <w:rPr>
            <w:rStyle w:val="Hyperlink"/>
          </w:rPr>
          <w:t>Uninterruptible Power Supplies – Three-Phase</w:t>
        </w:r>
        <w:r w:rsidR="008F71B2" w:rsidRPr="0088017A">
          <w:rPr>
            <w:webHidden/>
          </w:rPr>
          <w:tab/>
        </w:r>
        <w:r w:rsidR="008F71B2" w:rsidRPr="0088017A">
          <w:rPr>
            <w:webHidden/>
          </w:rPr>
          <w:fldChar w:fldCharType="begin"/>
        </w:r>
        <w:r w:rsidR="008F71B2" w:rsidRPr="0088017A">
          <w:rPr>
            <w:webHidden/>
          </w:rPr>
          <w:instrText xml:space="preserve"> PAGEREF _Toc443923984 \h </w:instrText>
        </w:r>
        <w:r w:rsidR="008F71B2" w:rsidRPr="0088017A">
          <w:rPr>
            <w:webHidden/>
          </w:rPr>
        </w:r>
        <w:r w:rsidR="008F71B2" w:rsidRPr="0088017A">
          <w:rPr>
            <w:webHidden/>
          </w:rPr>
          <w:fldChar w:fldCharType="separate"/>
        </w:r>
        <w:r w:rsidR="008F71B2" w:rsidRPr="0088017A">
          <w:rPr>
            <w:webHidden/>
          </w:rPr>
          <w:t>1</w:t>
        </w:r>
        <w:r w:rsidR="008F71B2" w:rsidRPr="0088017A">
          <w:rPr>
            <w:webHidden/>
          </w:rPr>
          <w:fldChar w:fldCharType="end"/>
        </w:r>
      </w:hyperlink>
    </w:p>
    <w:p w:rsidR="008F71B2" w:rsidRPr="0088017A" w:rsidRDefault="00FC1524">
      <w:pPr>
        <w:pStyle w:val="TOC2"/>
        <w:rPr>
          <w:rFonts w:asciiTheme="minorHAnsi" w:eastAsiaTheme="minorEastAsia" w:hAnsiTheme="minorHAnsi" w:cstheme="minorBidi"/>
          <w:b w:val="0"/>
          <w:noProof/>
          <w:sz w:val="22"/>
          <w:szCs w:val="22"/>
          <w:lang w:val="en-US"/>
        </w:rPr>
      </w:pPr>
      <w:hyperlink w:anchor="_Toc443923985" w:history="1">
        <w:r w:rsidR="008F71B2" w:rsidRPr="0088017A">
          <w:rPr>
            <w:rStyle w:val="Hyperlink"/>
            <w:noProof/>
          </w:rPr>
          <w:t>Contractor Supplied Standardized Goods</w:t>
        </w:r>
      </w:hyperlink>
    </w:p>
    <w:p w:rsidR="008F71B2" w:rsidRPr="0088017A" w:rsidRDefault="00FC1524">
      <w:pPr>
        <w:pStyle w:val="TOC3"/>
        <w:rPr>
          <w:rFonts w:asciiTheme="minorHAnsi" w:eastAsiaTheme="minorEastAsia" w:hAnsiTheme="minorHAnsi" w:cstheme="minorBidi"/>
          <w:sz w:val="22"/>
          <w:szCs w:val="22"/>
          <w:lang w:val="en-US"/>
        </w:rPr>
      </w:pPr>
      <w:hyperlink w:anchor="_Toc443923986" w:history="1">
        <w:r w:rsidR="008F71B2" w:rsidRPr="0088017A">
          <w:rPr>
            <w:rStyle w:val="Hyperlink"/>
          </w:rPr>
          <w:t>E2.</w:t>
        </w:r>
        <w:r w:rsidR="008F71B2" w:rsidRPr="0088017A">
          <w:rPr>
            <w:rFonts w:asciiTheme="minorHAnsi" w:eastAsiaTheme="minorEastAsia" w:hAnsiTheme="minorHAnsi" w:cstheme="minorBidi"/>
            <w:sz w:val="22"/>
            <w:szCs w:val="22"/>
            <w:lang w:val="en-US"/>
          </w:rPr>
          <w:tab/>
        </w:r>
        <w:r w:rsidR="008F71B2" w:rsidRPr="0088017A">
          <w:rPr>
            <w:rStyle w:val="Hyperlink"/>
          </w:rPr>
          <w:t>General Requirements</w:t>
        </w:r>
        <w:r w:rsidR="008F71B2" w:rsidRPr="0088017A">
          <w:rPr>
            <w:webHidden/>
          </w:rPr>
          <w:tab/>
        </w:r>
        <w:r w:rsidR="008F71B2" w:rsidRPr="0088017A">
          <w:rPr>
            <w:webHidden/>
          </w:rPr>
          <w:fldChar w:fldCharType="begin"/>
        </w:r>
        <w:r w:rsidR="008F71B2" w:rsidRPr="0088017A">
          <w:rPr>
            <w:webHidden/>
          </w:rPr>
          <w:instrText xml:space="preserve"> PAGEREF _Toc443923986 \h </w:instrText>
        </w:r>
        <w:r w:rsidR="008F71B2" w:rsidRPr="0088017A">
          <w:rPr>
            <w:webHidden/>
          </w:rPr>
        </w:r>
        <w:r w:rsidR="008F71B2" w:rsidRPr="0088017A">
          <w:rPr>
            <w:webHidden/>
          </w:rPr>
          <w:fldChar w:fldCharType="separate"/>
        </w:r>
        <w:r w:rsidR="008F71B2" w:rsidRPr="0088017A">
          <w:rPr>
            <w:webHidden/>
          </w:rPr>
          <w:t>2</w:t>
        </w:r>
        <w:r w:rsidR="008F71B2" w:rsidRPr="0088017A">
          <w:rPr>
            <w:webHidden/>
          </w:rPr>
          <w:fldChar w:fldCharType="end"/>
        </w:r>
      </w:hyperlink>
    </w:p>
    <w:p w:rsidR="008F71B2" w:rsidRPr="0088017A" w:rsidRDefault="00FC1524">
      <w:pPr>
        <w:pStyle w:val="TOC3"/>
        <w:rPr>
          <w:rFonts w:asciiTheme="minorHAnsi" w:eastAsiaTheme="minorEastAsia" w:hAnsiTheme="minorHAnsi" w:cstheme="minorBidi"/>
          <w:sz w:val="22"/>
          <w:szCs w:val="22"/>
          <w:lang w:val="en-US"/>
        </w:rPr>
      </w:pPr>
      <w:hyperlink w:anchor="_Toc443923987" w:history="1">
        <w:r w:rsidR="008F71B2" w:rsidRPr="0088017A">
          <w:rPr>
            <w:rStyle w:val="Hyperlink"/>
          </w:rPr>
          <w:t>E3.</w:t>
        </w:r>
        <w:r w:rsidR="008F71B2" w:rsidRPr="0088017A">
          <w:rPr>
            <w:rFonts w:asciiTheme="minorHAnsi" w:eastAsiaTheme="minorEastAsia" w:hAnsiTheme="minorHAnsi" w:cstheme="minorBidi"/>
            <w:sz w:val="22"/>
            <w:szCs w:val="22"/>
            <w:lang w:val="en-US"/>
          </w:rPr>
          <w:tab/>
        </w:r>
        <w:r w:rsidR="008F71B2" w:rsidRPr="0088017A">
          <w:rPr>
            <w:rStyle w:val="Hyperlink"/>
          </w:rPr>
          <w:t>Standardized Control System and Motor Control Equipment</w:t>
        </w:r>
        <w:r w:rsidR="008F71B2" w:rsidRPr="0088017A">
          <w:rPr>
            <w:webHidden/>
          </w:rPr>
          <w:tab/>
        </w:r>
        <w:r w:rsidR="008F71B2" w:rsidRPr="0088017A">
          <w:rPr>
            <w:webHidden/>
          </w:rPr>
          <w:fldChar w:fldCharType="begin"/>
        </w:r>
        <w:r w:rsidR="008F71B2" w:rsidRPr="0088017A">
          <w:rPr>
            <w:webHidden/>
          </w:rPr>
          <w:instrText xml:space="preserve"> PAGEREF _Toc443923987 \h </w:instrText>
        </w:r>
        <w:r w:rsidR="008F71B2" w:rsidRPr="0088017A">
          <w:rPr>
            <w:webHidden/>
          </w:rPr>
        </w:r>
        <w:r w:rsidR="008F71B2" w:rsidRPr="0088017A">
          <w:rPr>
            <w:webHidden/>
          </w:rPr>
          <w:fldChar w:fldCharType="separate"/>
        </w:r>
        <w:r w:rsidR="008F71B2" w:rsidRPr="0088017A">
          <w:rPr>
            <w:webHidden/>
          </w:rPr>
          <w:t>3</w:t>
        </w:r>
        <w:r w:rsidR="008F71B2" w:rsidRPr="0088017A">
          <w:rPr>
            <w:webHidden/>
          </w:rPr>
          <w:fldChar w:fldCharType="end"/>
        </w:r>
      </w:hyperlink>
    </w:p>
    <w:p w:rsidR="008F71B2" w:rsidRPr="0088017A" w:rsidRDefault="00FC1524">
      <w:pPr>
        <w:pStyle w:val="TOC3"/>
        <w:rPr>
          <w:rFonts w:asciiTheme="minorHAnsi" w:eastAsiaTheme="minorEastAsia" w:hAnsiTheme="minorHAnsi" w:cstheme="minorBidi"/>
          <w:sz w:val="22"/>
          <w:szCs w:val="22"/>
          <w:lang w:val="en-US"/>
        </w:rPr>
      </w:pPr>
      <w:hyperlink w:anchor="_Toc443923988" w:history="1">
        <w:r w:rsidR="008F71B2" w:rsidRPr="0088017A">
          <w:rPr>
            <w:rStyle w:val="Hyperlink"/>
          </w:rPr>
          <w:t>E4.</w:t>
        </w:r>
        <w:r w:rsidR="008F71B2" w:rsidRPr="0088017A">
          <w:rPr>
            <w:rFonts w:asciiTheme="minorHAnsi" w:eastAsiaTheme="minorEastAsia" w:hAnsiTheme="minorHAnsi" w:cstheme="minorBidi"/>
            <w:sz w:val="22"/>
            <w:szCs w:val="22"/>
            <w:lang w:val="en-US"/>
          </w:rPr>
          <w:tab/>
        </w:r>
        <w:r w:rsidR="008F71B2" w:rsidRPr="0088017A">
          <w:rPr>
            <w:rStyle w:val="Hyperlink"/>
          </w:rPr>
          <w:t>Standardized Electric Valve Actuators</w:t>
        </w:r>
        <w:r w:rsidR="008F71B2" w:rsidRPr="0088017A">
          <w:rPr>
            <w:webHidden/>
          </w:rPr>
          <w:tab/>
        </w:r>
        <w:r w:rsidR="008F71B2" w:rsidRPr="0088017A">
          <w:rPr>
            <w:webHidden/>
          </w:rPr>
          <w:fldChar w:fldCharType="begin"/>
        </w:r>
        <w:r w:rsidR="008F71B2" w:rsidRPr="0088017A">
          <w:rPr>
            <w:webHidden/>
          </w:rPr>
          <w:instrText xml:space="preserve"> PAGEREF _Toc443923988 \h </w:instrText>
        </w:r>
        <w:r w:rsidR="008F71B2" w:rsidRPr="0088017A">
          <w:rPr>
            <w:webHidden/>
          </w:rPr>
        </w:r>
        <w:r w:rsidR="008F71B2" w:rsidRPr="0088017A">
          <w:rPr>
            <w:webHidden/>
          </w:rPr>
          <w:fldChar w:fldCharType="separate"/>
        </w:r>
        <w:r w:rsidR="008F71B2" w:rsidRPr="0088017A">
          <w:rPr>
            <w:webHidden/>
          </w:rPr>
          <w:t>5</w:t>
        </w:r>
        <w:r w:rsidR="008F71B2" w:rsidRPr="0088017A">
          <w:rPr>
            <w:webHidden/>
          </w:rPr>
          <w:fldChar w:fldCharType="end"/>
        </w:r>
      </w:hyperlink>
    </w:p>
    <w:p w:rsidR="008F71B2" w:rsidRPr="0088017A" w:rsidRDefault="00FC1524">
      <w:pPr>
        <w:pStyle w:val="TOC3"/>
        <w:rPr>
          <w:rFonts w:asciiTheme="minorHAnsi" w:eastAsiaTheme="minorEastAsia" w:hAnsiTheme="minorHAnsi" w:cstheme="minorBidi"/>
          <w:sz w:val="22"/>
          <w:szCs w:val="22"/>
          <w:lang w:val="en-US"/>
        </w:rPr>
      </w:pPr>
      <w:hyperlink w:anchor="_Toc443923989" w:history="1">
        <w:r w:rsidR="008F71B2" w:rsidRPr="0088017A">
          <w:rPr>
            <w:rStyle w:val="Hyperlink"/>
          </w:rPr>
          <w:t>E5.</w:t>
        </w:r>
        <w:r w:rsidR="008F71B2" w:rsidRPr="0088017A">
          <w:rPr>
            <w:rFonts w:asciiTheme="minorHAnsi" w:eastAsiaTheme="minorEastAsia" w:hAnsiTheme="minorHAnsi" w:cstheme="minorBidi"/>
            <w:sz w:val="22"/>
            <w:szCs w:val="22"/>
            <w:lang w:val="en-US"/>
          </w:rPr>
          <w:tab/>
        </w:r>
        <w:r w:rsidR="008F71B2" w:rsidRPr="0088017A">
          <w:rPr>
            <w:rStyle w:val="Hyperlink"/>
          </w:rPr>
          <w:t>Standardized Gas Detection Systems</w:t>
        </w:r>
        <w:r w:rsidR="008F71B2" w:rsidRPr="0088017A">
          <w:rPr>
            <w:webHidden/>
          </w:rPr>
          <w:tab/>
        </w:r>
        <w:r w:rsidR="008F71B2" w:rsidRPr="0088017A">
          <w:rPr>
            <w:webHidden/>
          </w:rPr>
          <w:fldChar w:fldCharType="begin"/>
        </w:r>
        <w:r w:rsidR="008F71B2" w:rsidRPr="0088017A">
          <w:rPr>
            <w:webHidden/>
          </w:rPr>
          <w:instrText xml:space="preserve"> PAGEREF _Toc443923989 \h </w:instrText>
        </w:r>
        <w:r w:rsidR="008F71B2" w:rsidRPr="0088017A">
          <w:rPr>
            <w:webHidden/>
          </w:rPr>
        </w:r>
        <w:r w:rsidR="008F71B2" w:rsidRPr="0088017A">
          <w:rPr>
            <w:webHidden/>
          </w:rPr>
          <w:fldChar w:fldCharType="separate"/>
        </w:r>
        <w:r w:rsidR="008F71B2" w:rsidRPr="0088017A">
          <w:rPr>
            <w:webHidden/>
          </w:rPr>
          <w:t>6</w:t>
        </w:r>
        <w:r w:rsidR="008F71B2" w:rsidRPr="0088017A">
          <w:rPr>
            <w:webHidden/>
          </w:rPr>
          <w:fldChar w:fldCharType="end"/>
        </w:r>
      </w:hyperlink>
    </w:p>
    <w:p w:rsidR="008F71B2" w:rsidRPr="0088017A" w:rsidRDefault="00FC1524">
      <w:pPr>
        <w:pStyle w:val="TOC3"/>
        <w:rPr>
          <w:rFonts w:asciiTheme="minorHAnsi" w:eastAsiaTheme="minorEastAsia" w:hAnsiTheme="minorHAnsi" w:cstheme="minorBidi"/>
          <w:sz w:val="22"/>
          <w:szCs w:val="22"/>
          <w:lang w:val="en-US"/>
        </w:rPr>
      </w:pPr>
      <w:hyperlink w:anchor="_Toc443923990" w:history="1">
        <w:r w:rsidR="008F71B2" w:rsidRPr="0088017A">
          <w:rPr>
            <w:rStyle w:val="Hyperlink"/>
          </w:rPr>
          <w:t>E6.</w:t>
        </w:r>
        <w:r w:rsidR="008F71B2" w:rsidRPr="0088017A">
          <w:rPr>
            <w:rFonts w:asciiTheme="minorHAnsi" w:eastAsiaTheme="minorEastAsia" w:hAnsiTheme="minorHAnsi" w:cstheme="minorBidi"/>
            <w:sz w:val="22"/>
            <w:szCs w:val="22"/>
            <w:lang w:val="en-US"/>
          </w:rPr>
          <w:tab/>
        </w:r>
        <w:r w:rsidR="008F71B2" w:rsidRPr="0088017A">
          <w:rPr>
            <w:rStyle w:val="Hyperlink"/>
          </w:rPr>
          <w:t>Standardized Instrumentation</w:t>
        </w:r>
        <w:r w:rsidR="008F71B2" w:rsidRPr="0088017A">
          <w:rPr>
            <w:webHidden/>
          </w:rPr>
          <w:tab/>
        </w:r>
        <w:r w:rsidR="008F71B2" w:rsidRPr="0088017A">
          <w:rPr>
            <w:webHidden/>
          </w:rPr>
          <w:fldChar w:fldCharType="begin"/>
        </w:r>
        <w:r w:rsidR="008F71B2" w:rsidRPr="0088017A">
          <w:rPr>
            <w:webHidden/>
          </w:rPr>
          <w:instrText xml:space="preserve"> PAGEREF _Toc443923990 \h </w:instrText>
        </w:r>
        <w:r w:rsidR="008F71B2" w:rsidRPr="0088017A">
          <w:rPr>
            <w:webHidden/>
          </w:rPr>
        </w:r>
        <w:r w:rsidR="008F71B2" w:rsidRPr="0088017A">
          <w:rPr>
            <w:webHidden/>
          </w:rPr>
          <w:fldChar w:fldCharType="separate"/>
        </w:r>
        <w:r w:rsidR="008F71B2" w:rsidRPr="0088017A">
          <w:rPr>
            <w:webHidden/>
          </w:rPr>
          <w:t>7</w:t>
        </w:r>
        <w:r w:rsidR="008F71B2" w:rsidRPr="0088017A">
          <w:rPr>
            <w:webHidden/>
          </w:rPr>
          <w:fldChar w:fldCharType="end"/>
        </w:r>
      </w:hyperlink>
    </w:p>
    <w:p w:rsidR="00C62626" w:rsidRPr="0088017A" w:rsidRDefault="00055D2F" w:rsidP="00431BEE">
      <w:pPr>
        <w:pStyle w:val="TOC3"/>
        <w:rPr>
          <w:noProof w:val="0"/>
        </w:rPr>
      </w:pPr>
      <w:r w:rsidRPr="0088017A">
        <w:rPr>
          <w:noProof w:val="0"/>
        </w:rPr>
        <w:fldChar w:fldCharType="end"/>
      </w:r>
    </w:p>
    <w:p w:rsidR="00C62626" w:rsidRPr="0088017A" w:rsidRDefault="00C62626">
      <w:pPr>
        <w:sectPr w:rsidR="00C62626" w:rsidRPr="0088017A" w:rsidSect="00400F4A">
          <w:headerReference w:type="default" r:id="rId11"/>
          <w:endnotePr>
            <w:numFmt w:val="upperLetter"/>
          </w:endnotePr>
          <w:pgSz w:w="12240" w:h="15840" w:code="1"/>
          <w:pgMar w:top="1440" w:right="1440" w:bottom="720" w:left="1440" w:header="432" w:footer="432" w:gutter="0"/>
          <w:pgNumType w:start="1"/>
          <w:cols w:space="720"/>
        </w:sectPr>
      </w:pPr>
    </w:p>
    <w:p w:rsidR="00C62626" w:rsidRPr="0088017A" w:rsidRDefault="00C62626">
      <w:pPr>
        <w:pStyle w:val="Comment"/>
        <w:pageBreakBefore/>
        <w:spacing w:before="0"/>
      </w:pPr>
    </w:p>
    <w:tbl>
      <w:tblPr>
        <w:tblW w:w="9677" w:type="dxa"/>
        <w:tblLayout w:type="fixed"/>
        <w:tblCellMar>
          <w:left w:w="100" w:type="dxa"/>
          <w:right w:w="100" w:type="dxa"/>
        </w:tblCellMar>
        <w:tblLook w:val="0000" w:firstRow="0" w:lastRow="0" w:firstColumn="0" w:lastColumn="0" w:noHBand="0" w:noVBand="0"/>
      </w:tblPr>
      <w:tblGrid>
        <w:gridCol w:w="645"/>
        <w:gridCol w:w="3390"/>
        <w:gridCol w:w="1092"/>
        <w:gridCol w:w="817"/>
        <w:gridCol w:w="1191"/>
        <w:gridCol w:w="1264"/>
        <w:gridCol w:w="1278"/>
      </w:tblGrid>
      <w:tr w:rsidR="00C62626" w:rsidRPr="0088017A" w:rsidTr="00CF7391">
        <w:trPr>
          <w:cantSplit/>
          <w:tblHeader/>
        </w:trPr>
        <w:tc>
          <w:tcPr>
            <w:tcW w:w="9677" w:type="dxa"/>
            <w:gridSpan w:val="7"/>
            <w:tcBorders>
              <w:top w:val="nil"/>
              <w:left w:val="nil"/>
              <w:bottom w:val="nil"/>
              <w:right w:val="nil"/>
            </w:tcBorders>
          </w:tcPr>
          <w:p w:rsidR="00C62626" w:rsidRPr="0088017A" w:rsidRDefault="00C62626" w:rsidP="00883FD6">
            <w:pPr>
              <w:pStyle w:val="FORMHEADING"/>
              <w:pageBreakBefore w:val="0"/>
            </w:pPr>
            <w:bookmarkStart w:id="6" w:name="_Toc482432321"/>
            <w:bookmarkStart w:id="7" w:name="_Toc443923967"/>
            <w:r w:rsidRPr="0088017A">
              <w:t>Form B: Prices</w:t>
            </w:r>
            <w:bookmarkEnd w:id="6"/>
            <w:bookmarkEnd w:id="7"/>
          </w:p>
          <w:p w:rsidR="00C62626" w:rsidRPr="0088017A" w:rsidRDefault="00C62626">
            <w:pPr>
              <w:jc w:val="center"/>
            </w:pPr>
            <w:r w:rsidRPr="0088017A">
              <w:t xml:space="preserve">(See </w:t>
            </w:r>
            <w:r w:rsidRPr="0088017A">
              <w:fldChar w:fldCharType="begin"/>
            </w:r>
            <w:r w:rsidRPr="0088017A">
              <w:instrText xml:space="preserve"> REF _Ref482427652 \r \h  \* MERGEFORMAT </w:instrText>
            </w:r>
            <w:r w:rsidRPr="0088017A">
              <w:fldChar w:fldCharType="separate"/>
            </w:r>
            <w:r w:rsidR="00A7422E" w:rsidRPr="0088017A">
              <w:t>B3</w:t>
            </w:r>
            <w:r w:rsidRPr="0088017A">
              <w:fldChar w:fldCharType="end"/>
            </w:r>
            <w:r w:rsidRPr="0088017A">
              <w:t>)</w:t>
            </w:r>
          </w:p>
          <w:p w:rsidR="00C62626" w:rsidRPr="0088017A" w:rsidRDefault="00C62626">
            <w:pPr>
              <w:spacing w:before="200" w:after="200"/>
              <w:jc w:val="center"/>
              <w:rPr>
                <w:rFonts w:cs="Arial"/>
                <w:caps/>
              </w:rPr>
            </w:pPr>
            <w:r w:rsidRPr="0088017A">
              <w:rPr>
                <w:caps/>
              </w:rPr>
              <w:fldChar w:fldCharType="begin"/>
            </w:r>
            <w:r w:rsidRPr="0088017A">
              <w:rPr>
                <w:caps/>
              </w:rPr>
              <w:instrText xml:space="preserve"> REF </w:instrText>
            </w:r>
            <w:r w:rsidR="001D4594" w:rsidRPr="0088017A">
              <w:rPr>
                <w:caps/>
              </w:rPr>
              <w:instrText>CONTRAC</w:instrText>
            </w:r>
            <w:r w:rsidRPr="0088017A">
              <w:rPr>
                <w:caps/>
              </w:rPr>
              <w:instrText xml:space="preserve">tTitle \* Upper </w:instrText>
            </w:r>
            <w:r w:rsidR="0088017A">
              <w:rPr>
                <w:caps/>
              </w:rPr>
              <w:instrText xml:space="preserve"> \* MERGEFORMAT </w:instrText>
            </w:r>
            <w:r w:rsidRPr="0088017A">
              <w:rPr>
                <w:caps/>
              </w:rPr>
              <w:fldChar w:fldCharType="separate"/>
            </w:r>
            <w:r w:rsidR="00A7422E" w:rsidRPr="0088017A">
              <w:t xml:space="preserve">^ </w:t>
            </w:r>
            <w:r w:rsidRPr="0088017A">
              <w:rPr>
                <w:caps/>
              </w:rPr>
              <w:fldChar w:fldCharType="end"/>
            </w:r>
          </w:p>
        </w:tc>
      </w:tr>
      <w:tr w:rsidR="00C62626" w:rsidRPr="0088017A" w:rsidTr="00CF7391">
        <w:trPr>
          <w:cantSplit/>
          <w:tblHeader/>
        </w:trPr>
        <w:tc>
          <w:tcPr>
            <w:tcW w:w="9677" w:type="dxa"/>
            <w:gridSpan w:val="7"/>
            <w:tcBorders>
              <w:top w:val="nil"/>
              <w:left w:val="nil"/>
              <w:bottom w:val="nil"/>
              <w:right w:val="nil"/>
            </w:tcBorders>
            <w:vAlign w:val="bottom"/>
          </w:tcPr>
          <w:p w:rsidR="00C62626" w:rsidRPr="0088017A" w:rsidRDefault="00C62626">
            <w:pPr>
              <w:rPr>
                <w:rFonts w:cs="Arial"/>
              </w:rPr>
            </w:pPr>
            <w:r w:rsidRPr="0088017A">
              <w:t>UNIT PRICES</w:t>
            </w:r>
          </w:p>
        </w:tc>
      </w:tr>
      <w:tr w:rsidR="00C62626" w:rsidRPr="0088017A" w:rsidTr="00CF7391">
        <w:trPr>
          <w:cantSplit/>
          <w:tblHeader/>
        </w:trPr>
        <w:tc>
          <w:tcPr>
            <w:tcW w:w="645" w:type="dxa"/>
            <w:tcBorders>
              <w:top w:val="single" w:sz="6" w:space="0" w:color="auto"/>
              <w:left w:val="single" w:sz="6" w:space="0" w:color="auto"/>
              <w:bottom w:val="single" w:sz="6" w:space="0" w:color="auto"/>
              <w:right w:val="nil"/>
            </w:tcBorders>
          </w:tcPr>
          <w:p w:rsidR="00C62626" w:rsidRPr="0088017A" w:rsidRDefault="00C62626">
            <w:pPr>
              <w:rPr>
                <w:sz w:val="16"/>
                <w:szCs w:val="16"/>
              </w:rPr>
            </w:pPr>
            <w:r w:rsidRPr="0088017A">
              <w:rPr>
                <w:sz w:val="16"/>
                <w:szCs w:val="16"/>
              </w:rPr>
              <w:t>ITEM</w:t>
            </w:r>
          </w:p>
          <w:p w:rsidR="00C62626" w:rsidRPr="0088017A" w:rsidRDefault="00C62626">
            <w:pPr>
              <w:rPr>
                <w:rFonts w:cs="Arial"/>
              </w:rPr>
            </w:pPr>
            <w:r w:rsidRPr="0088017A">
              <w:rPr>
                <w:sz w:val="16"/>
                <w:szCs w:val="16"/>
              </w:rPr>
              <w:t>NO.</w:t>
            </w:r>
          </w:p>
        </w:tc>
        <w:tc>
          <w:tcPr>
            <w:tcW w:w="3390" w:type="dxa"/>
            <w:tcBorders>
              <w:top w:val="single" w:sz="6" w:space="0" w:color="auto"/>
              <w:left w:val="single" w:sz="6" w:space="0" w:color="auto"/>
              <w:bottom w:val="single" w:sz="6" w:space="0" w:color="auto"/>
              <w:right w:val="nil"/>
            </w:tcBorders>
          </w:tcPr>
          <w:p w:rsidR="00C62626" w:rsidRPr="0088017A" w:rsidRDefault="00C62626">
            <w:pPr>
              <w:rPr>
                <w:rFonts w:cs="Arial"/>
              </w:rPr>
            </w:pPr>
            <w:r w:rsidRPr="0088017A">
              <w:rPr>
                <w:sz w:val="16"/>
                <w:szCs w:val="16"/>
              </w:rPr>
              <w:t>DESCRIPTION</w:t>
            </w:r>
          </w:p>
        </w:tc>
        <w:tc>
          <w:tcPr>
            <w:tcW w:w="1092" w:type="dxa"/>
            <w:tcBorders>
              <w:top w:val="single" w:sz="6" w:space="0" w:color="auto"/>
              <w:left w:val="single" w:sz="6" w:space="0" w:color="auto"/>
              <w:bottom w:val="single" w:sz="6" w:space="0" w:color="auto"/>
              <w:right w:val="nil"/>
            </w:tcBorders>
          </w:tcPr>
          <w:p w:rsidR="00C62626" w:rsidRPr="0088017A" w:rsidRDefault="00C62626" w:rsidP="00C06E6E">
            <w:pPr>
              <w:jc w:val="center"/>
              <w:rPr>
                <w:sz w:val="16"/>
                <w:szCs w:val="16"/>
              </w:rPr>
            </w:pPr>
            <w:r w:rsidRPr="0088017A">
              <w:rPr>
                <w:sz w:val="16"/>
                <w:szCs w:val="16"/>
              </w:rPr>
              <w:t>SPEC.</w:t>
            </w:r>
          </w:p>
          <w:p w:rsidR="00C62626" w:rsidRPr="0088017A" w:rsidRDefault="00C62626" w:rsidP="00C06E6E">
            <w:pPr>
              <w:jc w:val="center"/>
              <w:rPr>
                <w:rFonts w:cs="Arial"/>
              </w:rPr>
            </w:pPr>
            <w:r w:rsidRPr="0088017A">
              <w:rPr>
                <w:sz w:val="16"/>
                <w:szCs w:val="16"/>
              </w:rPr>
              <w:t>REF.</w:t>
            </w:r>
          </w:p>
        </w:tc>
        <w:tc>
          <w:tcPr>
            <w:tcW w:w="817" w:type="dxa"/>
            <w:tcBorders>
              <w:top w:val="single" w:sz="6" w:space="0" w:color="auto"/>
              <w:left w:val="single" w:sz="6" w:space="0" w:color="auto"/>
              <w:bottom w:val="single" w:sz="6" w:space="0" w:color="auto"/>
              <w:right w:val="nil"/>
            </w:tcBorders>
          </w:tcPr>
          <w:p w:rsidR="00C62626" w:rsidRPr="0088017A" w:rsidRDefault="00C62626">
            <w:pPr>
              <w:rPr>
                <w:rFonts w:cs="Arial"/>
              </w:rPr>
            </w:pPr>
            <w:r w:rsidRPr="0088017A">
              <w:rPr>
                <w:sz w:val="16"/>
                <w:szCs w:val="16"/>
              </w:rPr>
              <w:t>UNIT</w:t>
            </w:r>
          </w:p>
        </w:tc>
        <w:tc>
          <w:tcPr>
            <w:tcW w:w="1191" w:type="dxa"/>
            <w:tcBorders>
              <w:top w:val="single" w:sz="6" w:space="0" w:color="auto"/>
              <w:left w:val="single" w:sz="6" w:space="0" w:color="auto"/>
              <w:bottom w:val="single" w:sz="6" w:space="0" w:color="auto"/>
              <w:right w:val="nil"/>
            </w:tcBorders>
          </w:tcPr>
          <w:p w:rsidR="00C62626" w:rsidRPr="0088017A" w:rsidRDefault="00C62626">
            <w:pPr>
              <w:rPr>
                <w:sz w:val="16"/>
                <w:szCs w:val="16"/>
              </w:rPr>
            </w:pPr>
            <w:r w:rsidRPr="0088017A">
              <w:rPr>
                <w:sz w:val="16"/>
                <w:szCs w:val="16"/>
              </w:rPr>
              <w:t>APPROX.</w:t>
            </w:r>
          </w:p>
          <w:p w:rsidR="00C62626" w:rsidRPr="0088017A" w:rsidRDefault="00C62626">
            <w:pPr>
              <w:rPr>
                <w:rFonts w:cs="Arial"/>
              </w:rPr>
            </w:pPr>
            <w:r w:rsidRPr="0088017A">
              <w:rPr>
                <w:sz w:val="16"/>
                <w:szCs w:val="16"/>
              </w:rPr>
              <w:t>QUANTITY</w:t>
            </w:r>
          </w:p>
        </w:tc>
        <w:tc>
          <w:tcPr>
            <w:tcW w:w="1264" w:type="dxa"/>
            <w:tcBorders>
              <w:top w:val="single" w:sz="6" w:space="0" w:color="auto"/>
              <w:left w:val="single" w:sz="6" w:space="0" w:color="auto"/>
              <w:bottom w:val="single" w:sz="6" w:space="0" w:color="auto"/>
              <w:right w:val="nil"/>
            </w:tcBorders>
          </w:tcPr>
          <w:p w:rsidR="00C62626" w:rsidRPr="0088017A" w:rsidRDefault="00C62626">
            <w:pPr>
              <w:rPr>
                <w:sz w:val="16"/>
                <w:szCs w:val="16"/>
              </w:rPr>
            </w:pPr>
            <w:r w:rsidRPr="0088017A">
              <w:rPr>
                <w:sz w:val="16"/>
                <w:szCs w:val="16"/>
              </w:rPr>
              <w:t>UNIT</w:t>
            </w:r>
          </w:p>
          <w:p w:rsidR="00C62626" w:rsidRPr="0088017A" w:rsidRDefault="00C62626">
            <w:pPr>
              <w:rPr>
                <w:rFonts w:cs="Arial"/>
              </w:rPr>
            </w:pPr>
            <w:r w:rsidRPr="0088017A">
              <w:rPr>
                <w:sz w:val="16"/>
                <w:szCs w:val="16"/>
              </w:rPr>
              <w:t>PRICE</w:t>
            </w:r>
          </w:p>
        </w:tc>
        <w:tc>
          <w:tcPr>
            <w:tcW w:w="1278" w:type="dxa"/>
            <w:tcBorders>
              <w:top w:val="single" w:sz="6" w:space="0" w:color="auto"/>
              <w:left w:val="single" w:sz="6" w:space="0" w:color="auto"/>
              <w:bottom w:val="single" w:sz="6" w:space="0" w:color="auto"/>
              <w:right w:val="single" w:sz="6" w:space="0" w:color="auto"/>
            </w:tcBorders>
          </w:tcPr>
          <w:p w:rsidR="00C62626" w:rsidRPr="0088017A" w:rsidRDefault="00C62626">
            <w:pPr>
              <w:rPr>
                <w:rFonts w:cs="Arial"/>
              </w:rPr>
            </w:pPr>
            <w:r w:rsidRPr="0088017A">
              <w:rPr>
                <w:sz w:val="16"/>
                <w:szCs w:val="16"/>
              </w:rPr>
              <w:t>AMOUNT</w:t>
            </w: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bookmarkStart w:id="8" w:name="_Ref482436623"/>
          </w:p>
        </w:tc>
        <w:bookmarkEnd w:id="8"/>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3D7DEF" w:rsidRPr="0088017A" w:rsidTr="001673AE">
        <w:trPr>
          <w:cantSplit/>
          <w:trHeight w:val="403"/>
        </w:trPr>
        <w:tc>
          <w:tcPr>
            <w:tcW w:w="9677" w:type="dxa"/>
            <w:gridSpan w:val="7"/>
            <w:tcBorders>
              <w:top w:val="nil"/>
              <w:left w:val="single" w:sz="6" w:space="0" w:color="auto"/>
              <w:bottom w:val="nil"/>
              <w:right w:val="single" w:sz="6" w:space="0" w:color="auto"/>
            </w:tcBorders>
          </w:tcPr>
          <w:p w:rsidR="003D7DEF" w:rsidRPr="0088017A" w:rsidRDefault="003D7DEF" w:rsidP="001673AE">
            <w:pPr>
              <w:rPr>
                <w:rFonts w:cs="Arial"/>
                <w:szCs w:val="20"/>
              </w:rPr>
            </w:pPr>
            <w:r w:rsidRPr="0088017A">
              <w:rPr>
                <w:rFonts w:cs="Arial"/>
                <w:szCs w:val="20"/>
              </w:rPr>
              <w:t xml:space="preserve">Standardized </w:t>
            </w:r>
            <w:r w:rsidR="009530D1" w:rsidRPr="0088017A">
              <w:rPr>
                <w:rFonts w:cs="Arial"/>
                <w:szCs w:val="20"/>
              </w:rPr>
              <w:t>Goods</w:t>
            </w:r>
            <w:r w:rsidRPr="0088017A">
              <w:rPr>
                <w:rFonts w:cs="Arial"/>
                <w:szCs w:val="20"/>
              </w:rPr>
              <w:t>.</w:t>
            </w:r>
          </w:p>
          <w:p w:rsidR="003D7DEF" w:rsidRPr="0088017A" w:rsidRDefault="003D7DEF" w:rsidP="001673AE">
            <w:pPr>
              <w:rPr>
                <w:rFonts w:cs="Arial"/>
                <w:szCs w:val="20"/>
              </w:rPr>
            </w:pPr>
            <w:r w:rsidRPr="0088017A">
              <w:rPr>
                <w:rFonts w:cs="Arial"/>
                <w:szCs w:val="20"/>
              </w:rPr>
              <w:t xml:space="preserve">Indicate base costs for material supply under the following standardization agreements.  Any </w:t>
            </w:r>
            <w:r w:rsidR="007C1368" w:rsidRPr="0088017A">
              <w:rPr>
                <w:rFonts w:cs="Arial"/>
                <w:szCs w:val="20"/>
              </w:rPr>
              <w:t xml:space="preserve">material </w:t>
            </w:r>
            <w:r w:rsidRPr="0088017A">
              <w:rPr>
                <w:rFonts w:cs="Arial"/>
                <w:szCs w:val="20"/>
              </w:rPr>
              <w:t>mark-up</w:t>
            </w:r>
            <w:r w:rsidR="007C1368" w:rsidRPr="0088017A">
              <w:rPr>
                <w:rFonts w:cs="Arial"/>
                <w:szCs w:val="20"/>
              </w:rPr>
              <w:t xml:space="preserve"> or installation costs</w:t>
            </w:r>
            <w:r w:rsidRPr="0088017A">
              <w:rPr>
                <w:rFonts w:cs="Arial"/>
                <w:szCs w:val="20"/>
              </w:rPr>
              <w:t xml:space="preserve">, as applicable, shall be included </w:t>
            </w:r>
            <w:r w:rsidR="007C1368" w:rsidRPr="0088017A">
              <w:rPr>
                <w:rFonts w:cs="Arial"/>
                <w:szCs w:val="20"/>
              </w:rPr>
              <w:t>in other line items above.</w:t>
            </w:r>
          </w:p>
          <w:p w:rsidR="00DF467B" w:rsidRPr="0088017A" w:rsidRDefault="00DF467B" w:rsidP="001673AE">
            <w:pPr>
              <w:rPr>
                <w:rFonts w:cs="Arial"/>
                <w:szCs w:val="20"/>
              </w:rPr>
            </w:pPr>
          </w:p>
        </w:tc>
      </w:tr>
      <w:tr w:rsidR="003D7DEF" w:rsidRPr="0088017A" w:rsidTr="001673AE">
        <w:trPr>
          <w:cantSplit/>
          <w:trHeight w:val="403"/>
        </w:trPr>
        <w:tc>
          <w:tcPr>
            <w:tcW w:w="645" w:type="dxa"/>
            <w:tcBorders>
              <w:top w:val="nil"/>
              <w:left w:val="single" w:sz="6" w:space="0" w:color="auto"/>
              <w:bottom w:val="nil"/>
              <w:right w:val="nil"/>
            </w:tcBorders>
          </w:tcPr>
          <w:p w:rsidR="003D7DEF" w:rsidRPr="0088017A" w:rsidRDefault="003D7DEF" w:rsidP="00A3353E">
            <w:pPr>
              <w:numPr>
                <w:ilvl w:val="0"/>
                <w:numId w:val="2"/>
              </w:numPr>
              <w:rPr>
                <w:rFonts w:cs="Arial"/>
                <w:szCs w:val="20"/>
              </w:rPr>
            </w:pPr>
          </w:p>
        </w:tc>
        <w:tc>
          <w:tcPr>
            <w:tcW w:w="3390" w:type="dxa"/>
            <w:tcBorders>
              <w:top w:val="nil"/>
              <w:left w:val="single" w:sz="6" w:space="0" w:color="auto"/>
              <w:bottom w:val="nil"/>
              <w:right w:val="nil"/>
            </w:tcBorders>
          </w:tcPr>
          <w:p w:rsidR="003D7DEF" w:rsidRPr="0088017A" w:rsidRDefault="00C143B4" w:rsidP="001673AE">
            <w:pPr>
              <w:rPr>
                <w:rFonts w:cs="Arial"/>
                <w:szCs w:val="20"/>
              </w:rPr>
            </w:pPr>
            <w:r w:rsidRPr="0088017A">
              <w:rPr>
                <w:rFonts w:cs="Arial"/>
                <w:szCs w:val="20"/>
              </w:rPr>
              <w:t xml:space="preserve">Standardized </w:t>
            </w:r>
            <w:r w:rsidR="003D7DEF" w:rsidRPr="0088017A">
              <w:rPr>
                <w:rFonts w:cs="Arial"/>
                <w:szCs w:val="20"/>
              </w:rPr>
              <w:t>Control System and Motor Control Equipment</w:t>
            </w:r>
            <w:r w:rsidR="007C1368" w:rsidRPr="0088017A">
              <w:rPr>
                <w:rFonts w:cs="Arial"/>
                <w:szCs w:val="20"/>
              </w:rPr>
              <w:t xml:space="preserve"> – Base Cost</w:t>
            </w:r>
          </w:p>
          <w:p w:rsidR="00DF467B" w:rsidRPr="0088017A" w:rsidRDefault="00DF467B" w:rsidP="001673AE">
            <w:pPr>
              <w:rPr>
                <w:rFonts w:cs="Arial"/>
                <w:szCs w:val="20"/>
              </w:rPr>
            </w:pPr>
          </w:p>
        </w:tc>
        <w:tc>
          <w:tcPr>
            <w:tcW w:w="1092" w:type="dxa"/>
            <w:tcBorders>
              <w:top w:val="nil"/>
              <w:left w:val="single" w:sz="6" w:space="0" w:color="auto"/>
              <w:bottom w:val="nil"/>
              <w:right w:val="nil"/>
            </w:tcBorders>
          </w:tcPr>
          <w:p w:rsidR="003D7DEF" w:rsidRPr="0088017A" w:rsidRDefault="00C143B4" w:rsidP="00C06E6E">
            <w:pPr>
              <w:jc w:val="center"/>
              <w:rPr>
                <w:rFonts w:cs="Arial"/>
                <w:szCs w:val="20"/>
              </w:rPr>
            </w:pPr>
            <w:r w:rsidRPr="0088017A">
              <w:rPr>
                <w:rFonts w:cs="Arial"/>
                <w:szCs w:val="20"/>
              </w:rPr>
              <w:fldChar w:fldCharType="begin"/>
            </w:r>
            <w:r w:rsidRPr="0088017A">
              <w:rPr>
                <w:rFonts w:cs="Arial"/>
                <w:szCs w:val="20"/>
              </w:rPr>
              <w:instrText xml:space="preserve"> REF _Ref436401054 \r \h </w:instrText>
            </w:r>
            <w:r w:rsidR="00C06E6E" w:rsidRPr="0088017A">
              <w:rPr>
                <w:rFonts w:cs="Arial"/>
                <w:szCs w:val="20"/>
              </w:rPr>
              <w:instrText xml:space="preserve"> \* MERGEFORMAT </w:instrText>
            </w:r>
            <w:r w:rsidRPr="0088017A">
              <w:rPr>
                <w:rFonts w:cs="Arial"/>
                <w:szCs w:val="20"/>
              </w:rPr>
            </w:r>
            <w:r w:rsidRPr="0088017A">
              <w:rPr>
                <w:rFonts w:cs="Arial"/>
                <w:szCs w:val="20"/>
              </w:rPr>
              <w:fldChar w:fldCharType="separate"/>
            </w:r>
            <w:r w:rsidR="00A7422E" w:rsidRPr="0088017A">
              <w:rPr>
                <w:rFonts w:cs="Arial"/>
                <w:szCs w:val="20"/>
              </w:rPr>
              <w:t>E3</w:t>
            </w:r>
            <w:r w:rsidRPr="0088017A">
              <w:rPr>
                <w:rFonts w:cs="Arial"/>
                <w:szCs w:val="20"/>
              </w:rPr>
              <w:fldChar w:fldCharType="end"/>
            </w:r>
          </w:p>
        </w:tc>
        <w:tc>
          <w:tcPr>
            <w:tcW w:w="817" w:type="dxa"/>
            <w:tcBorders>
              <w:top w:val="nil"/>
              <w:left w:val="single" w:sz="6" w:space="0" w:color="auto"/>
              <w:bottom w:val="nil"/>
              <w:right w:val="nil"/>
            </w:tcBorders>
          </w:tcPr>
          <w:p w:rsidR="003D7DEF" w:rsidRPr="0088017A" w:rsidRDefault="003D7DEF" w:rsidP="001673AE">
            <w:pPr>
              <w:rPr>
                <w:rFonts w:cs="Arial"/>
                <w:szCs w:val="20"/>
              </w:rPr>
            </w:pPr>
          </w:p>
        </w:tc>
        <w:tc>
          <w:tcPr>
            <w:tcW w:w="1191" w:type="dxa"/>
            <w:tcBorders>
              <w:top w:val="nil"/>
              <w:left w:val="single" w:sz="6" w:space="0" w:color="auto"/>
              <w:bottom w:val="nil"/>
              <w:right w:val="nil"/>
            </w:tcBorders>
          </w:tcPr>
          <w:p w:rsidR="003D7DEF" w:rsidRPr="0088017A" w:rsidRDefault="003D7DEF" w:rsidP="001673AE">
            <w:pPr>
              <w:rPr>
                <w:rFonts w:cs="Arial"/>
                <w:szCs w:val="20"/>
              </w:rPr>
            </w:pPr>
          </w:p>
        </w:tc>
        <w:tc>
          <w:tcPr>
            <w:tcW w:w="1264" w:type="dxa"/>
            <w:tcBorders>
              <w:top w:val="nil"/>
              <w:left w:val="single" w:sz="6" w:space="0" w:color="auto"/>
              <w:bottom w:val="nil"/>
              <w:right w:val="nil"/>
            </w:tcBorders>
          </w:tcPr>
          <w:p w:rsidR="003D7DEF" w:rsidRPr="0088017A" w:rsidRDefault="003D7DEF" w:rsidP="001673AE">
            <w:pPr>
              <w:rPr>
                <w:rFonts w:cs="Arial"/>
                <w:szCs w:val="20"/>
              </w:rPr>
            </w:pPr>
          </w:p>
        </w:tc>
        <w:tc>
          <w:tcPr>
            <w:tcW w:w="1278" w:type="dxa"/>
            <w:tcBorders>
              <w:top w:val="nil"/>
              <w:left w:val="single" w:sz="6" w:space="0" w:color="auto"/>
              <w:bottom w:val="nil"/>
              <w:right w:val="single" w:sz="6" w:space="0" w:color="auto"/>
            </w:tcBorders>
          </w:tcPr>
          <w:p w:rsidR="003D7DEF" w:rsidRPr="0088017A" w:rsidRDefault="003D7DEF" w:rsidP="001673AE">
            <w:pPr>
              <w:rPr>
                <w:rFonts w:cs="Arial"/>
                <w:szCs w:val="20"/>
              </w:rPr>
            </w:pPr>
          </w:p>
        </w:tc>
      </w:tr>
      <w:tr w:rsidR="003D7DEF" w:rsidRPr="0088017A" w:rsidTr="001673AE">
        <w:trPr>
          <w:cantSplit/>
          <w:trHeight w:val="403"/>
        </w:trPr>
        <w:tc>
          <w:tcPr>
            <w:tcW w:w="645" w:type="dxa"/>
            <w:tcBorders>
              <w:top w:val="nil"/>
              <w:left w:val="single" w:sz="6" w:space="0" w:color="auto"/>
              <w:bottom w:val="nil"/>
              <w:right w:val="nil"/>
            </w:tcBorders>
          </w:tcPr>
          <w:p w:rsidR="003D7DEF" w:rsidRPr="0088017A" w:rsidRDefault="003D7DEF" w:rsidP="00A3353E">
            <w:pPr>
              <w:numPr>
                <w:ilvl w:val="0"/>
                <w:numId w:val="2"/>
              </w:numPr>
              <w:rPr>
                <w:rFonts w:cs="Arial"/>
                <w:szCs w:val="20"/>
              </w:rPr>
            </w:pPr>
          </w:p>
        </w:tc>
        <w:tc>
          <w:tcPr>
            <w:tcW w:w="3390" w:type="dxa"/>
            <w:tcBorders>
              <w:top w:val="nil"/>
              <w:left w:val="single" w:sz="6" w:space="0" w:color="auto"/>
              <w:bottom w:val="nil"/>
              <w:right w:val="nil"/>
            </w:tcBorders>
          </w:tcPr>
          <w:p w:rsidR="003D7DEF" w:rsidRPr="0088017A" w:rsidRDefault="00C143B4" w:rsidP="001673AE">
            <w:pPr>
              <w:rPr>
                <w:rFonts w:cs="Arial"/>
                <w:szCs w:val="20"/>
              </w:rPr>
            </w:pPr>
            <w:r w:rsidRPr="0088017A">
              <w:rPr>
                <w:rFonts w:cs="Arial"/>
                <w:szCs w:val="20"/>
              </w:rPr>
              <w:t xml:space="preserve">Standardized </w:t>
            </w:r>
            <w:r w:rsidR="003D7DEF" w:rsidRPr="0088017A">
              <w:rPr>
                <w:rFonts w:cs="Calibri"/>
                <w:szCs w:val="15"/>
              </w:rPr>
              <w:t>Gas Detection Equipment</w:t>
            </w:r>
            <w:r w:rsidR="007C1368" w:rsidRPr="0088017A">
              <w:rPr>
                <w:rFonts w:cs="Arial"/>
                <w:szCs w:val="20"/>
              </w:rPr>
              <w:t xml:space="preserve"> – Base Cost</w:t>
            </w:r>
          </w:p>
          <w:p w:rsidR="00DF467B" w:rsidRPr="0088017A" w:rsidRDefault="00DF467B" w:rsidP="001673AE">
            <w:pPr>
              <w:rPr>
                <w:rFonts w:cs="Calibri"/>
                <w:szCs w:val="15"/>
              </w:rPr>
            </w:pPr>
          </w:p>
        </w:tc>
        <w:tc>
          <w:tcPr>
            <w:tcW w:w="1092" w:type="dxa"/>
            <w:tcBorders>
              <w:top w:val="nil"/>
              <w:left w:val="single" w:sz="6" w:space="0" w:color="auto"/>
              <w:bottom w:val="nil"/>
              <w:right w:val="nil"/>
            </w:tcBorders>
          </w:tcPr>
          <w:p w:rsidR="003D7DEF" w:rsidRPr="0088017A" w:rsidRDefault="00C143B4" w:rsidP="00C06E6E">
            <w:pPr>
              <w:jc w:val="center"/>
              <w:rPr>
                <w:rFonts w:cs="Arial"/>
                <w:szCs w:val="20"/>
              </w:rPr>
            </w:pPr>
            <w:r w:rsidRPr="0088017A">
              <w:rPr>
                <w:rFonts w:cs="Arial"/>
                <w:szCs w:val="20"/>
              </w:rPr>
              <w:fldChar w:fldCharType="begin"/>
            </w:r>
            <w:r w:rsidRPr="0088017A">
              <w:rPr>
                <w:rFonts w:cs="Arial"/>
                <w:szCs w:val="20"/>
              </w:rPr>
              <w:instrText xml:space="preserve"> REF _Ref436401059 \r \h </w:instrText>
            </w:r>
            <w:r w:rsidR="00C06E6E" w:rsidRPr="0088017A">
              <w:rPr>
                <w:rFonts w:cs="Arial"/>
                <w:szCs w:val="20"/>
              </w:rPr>
              <w:instrText xml:space="preserve"> \* MERGEFORMAT </w:instrText>
            </w:r>
            <w:r w:rsidRPr="0088017A">
              <w:rPr>
                <w:rFonts w:cs="Arial"/>
                <w:szCs w:val="20"/>
              </w:rPr>
            </w:r>
            <w:r w:rsidRPr="0088017A">
              <w:rPr>
                <w:rFonts w:cs="Arial"/>
                <w:szCs w:val="20"/>
              </w:rPr>
              <w:fldChar w:fldCharType="separate"/>
            </w:r>
            <w:r w:rsidR="00A7422E" w:rsidRPr="0088017A">
              <w:rPr>
                <w:rFonts w:cs="Arial"/>
                <w:szCs w:val="20"/>
              </w:rPr>
              <w:t>E4</w:t>
            </w:r>
            <w:r w:rsidRPr="0088017A">
              <w:rPr>
                <w:rFonts w:cs="Arial"/>
                <w:szCs w:val="20"/>
              </w:rPr>
              <w:fldChar w:fldCharType="end"/>
            </w:r>
          </w:p>
        </w:tc>
        <w:tc>
          <w:tcPr>
            <w:tcW w:w="817" w:type="dxa"/>
            <w:tcBorders>
              <w:top w:val="nil"/>
              <w:left w:val="single" w:sz="6" w:space="0" w:color="auto"/>
              <w:bottom w:val="nil"/>
              <w:right w:val="nil"/>
            </w:tcBorders>
          </w:tcPr>
          <w:p w:rsidR="003D7DEF" w:rsidRPr="0088017A" w:rsidRDefault="003D7DEF" w:rsidP="001673AE">
            <w:pPr>
              <w:rPr>
                <w:rFonts w:cs="Arial"/>
                <w:szCs w:val="20"/>
              </w:rPr>
            </w:pPr>
          </w:p>
        </w:tc>
        <w:tc>
          <w:tcPr>
            <w:tcW w:w="1191" w:type="dxa"/>
            <w:tcBorders>
              <w:top w:val="nil"/>
              <w:left w:val="single" w:sz="6" w:space="0" w:color="auto"/>
              <w:bottom w:val="nil"/>
              <w:right w:val="nil"/>
            </w:tcBorders>
          </w:tcPr>
          <w:p w:rsidR="003D7DEF" w:rsidRPr="0088017A" w:rsidRDefault="003D7DEF" w:rsidP="001673AE">
            <w:pPr>
              <w:rPr>
                <w:rFonts w:cs="Arial"/>
                <w:szCs w:val="20"/>
              </w:rPr>
            </w:pPr>
          </w:p>
        </w:tc>
        <w:tc>
          <w:tcPr>
            <w:tcW w:w="1264" w:type="dxa"/>
            <w:tcBorders>
              <w:top w:val="nil"/>
              <w:left w:val="single" w:sz="6" w:space="0" w:color="auto"/>
              <w:bottom w:val="nil"/>
              <w:right w:val="nil"/>
            </w:tcBorders>
          </w:tcPr>
          <w:p w:rsidR="003D7DEF" w:rsidRPr="0088017A" w:rsidRDefault="003D7DEF" w:rsidP="001673AE">
            <w:pPr>
              <w:rPr>
                <w:rFonts w:cs="Arial"/>
                <w:szCs w:val="20"/>
              </w:rPr>
            </w:pPr>
          </w:p>
        </w:tc>
        <w:tc>
          <w:tcPr>
            <w:tcW w:w="1278" w:type="dxa"/>
            <w:tcBorders>
              <w:top w:val="nil"/>
              <w:left w:val="single" w:sz="6" w:space="0" w:color="auto"/>
              <w:bottom w:val="nil"/>
              <w:right w:val="single" w:sz="6" w:space="0" w:color="auto"/>
            </w:tcBorders>
          </w:tcPr>
          <w:p w:rsidR="003D7DEF" w:rsidRPr="0088017A" w:rsidRDefault="003D7DEF" w:rsidP="001673AE">
            <w:pPr>
              <w:rPr>
                <w:rFonts w:cs="Arial"/>
                <w:szCs w:val="20"/>
              </w:rPr>
            </w:pPr>
          </w:p>
        </w:tc>
      </w:tr>
      <w:tr w:rsidR="003D7DEF" w:rsidRPr="0088017A" w:rsidTr="001673AE">
        <w:trPr>
          <w:cantSplit/>
          <w:trHeight w:val="403"/>
        </w:trPr>
        <w:tc>
          <w:tcPr>
            <w:tcW w:w="645" w:type="dxa"/>
            <w:tcBorders>
              <w:top w:val="nil"/>
              <w:left w:val="single" w:sz="6" w:space="0" w:color="auto"/>
              <w:bottom w:val="nil"/>
              <w:right w:val="nil"/>
            </w:tcBorders>
          </w:tcPr>
          <w:p w:rsidR="003D7DEF" w:rsidRPr="0088017A" w:rsidRDefault="003D7DEF" w:rsidP="00A3353E">
            <w:pPr>
              <w:numPr>
                <w:ilvl w:val="0"/>
                <w:numId w:val="2"/>
              </w:numPr>
              <w:rPr>
                <w:rFonts w:cs="Arial"/>
                <w:szCs w:val="20"/>
              </w:rPr>
            </w:pPr>
          </w:p>
        </w:tc>
        <w:tc>
          <w:tcPr>
            <w:tcW w:w="3390" w:type="dxa"/>
            <w:tcBorders>
              <w:top w:val="nil"/>
              <w:left w:val="single" w:sz="6" w:space="0" w:color="auto"/>
              <w:bottom w:val="nil"/>
              <w:right w:val="nil"/>
            </w:tcBorders>
          </w:tcPr>
          <w:p w:rsidR="003D7DEF" w:rsidRPr="0088017A" w:rsidRDefault="00C143B4" w:rsidP="001673AE">
            <w:pPr>
              <w:rPr>
                <w:rFonts w:cs="Arial"/>
                <w:szCs w:val="20"/>
              </w:rPr>
            </w:pPr>
            <w:r w:rsidRPr="0088017A">
              <w:rPr>
                <w:rFonts w:cs="Arial"/>
                <w:szCs w:val="20"/>
              </w:rPr>
              <w:t xml:space="preserve">Standardized </w:t>
            </w:r>
            <w:r w:rsidR="003D7DEF" w:rsidRPr="0088017A">
              <w:rPr>
                <w:rFonts w:cs="Arial"/>
                <w:szCs w:val="20"/>
              </w:rPr>
              <w:t>Electric Valve Actuators</w:t>
            </w:r>
            <w:r w:rsidR="007C1368" w:rsidRPr="0088017A">
              <w:rPr>
                <w:rFonts w:cs="Arial"/>
                <w:szCs w:val="20"/>
              </w:rPr>
              <w:t xml:space="preserve"> – Base Cost</w:t>
            </w:r>
          </w:p>
          <w:p w:rsidR="00DF467B" w:rsidRPr="0088017A" w:rsidRDefault="00DF467B" w:rsidP="001673AE">
            <w:pPr>
              <w:rPr>
                <w:rFonts w:cs="Arial"/>
                <w:szCs w:val="20"/>
              </w:rPr>
            </w:pPr>
          </w:p>
        </w:tc>
        <w:tc>
          <w:tcPr>
            <w:tcW w:w="1092" w:type="dxa"/>
            <w:tcBorders>
              <w:top w:val="nil"/>
              <w:left w:val="single" w:sz="6" w:space="0" w:color="auto"/>
              <w:bottom w:val="nil"/>
              <w:right w:val="nil"/>
            </w:tcBorders>
          </w:tcPr>
          <w:p w:rsidR="003D7DEF" w:rsidRPr="0088017A" w:rsidRDefault="00C143B4" w:rsidP="00C06E6E">
            <w:pPr>
              <w:jc w:val="center"/>
              <w:rPr>
                <w:rFonts w:cs="Arial"/>
                <w:szCs w:val="20"/>
              </w:rPr>
            </w:pPr>
            <w:r w:rsidRPr="0088017A">
              <w:rPr>
                <w:rFonts w:cs="Arial"/>
                <w:szCs w:val="20"/>
              </w:rPr>
              <w:fldChar w:fldCharType="begin"/>
            </w:r>
            <w:r w:rsidRPr="0088017A">
              <w:rPr>
                <w:rFonts w:cs="Arial"/>
                <w:szCs w:val="20"/>
              </w:rPr>
              <w:instrText xml:space="preserve"> REF _Ref436401062 \r \h </w:instrText>
            </w:r>
            <w:r w:rsidR="00C06E6E" w:rsidRPr="0088017A">
              <w:rPr>
                <w:rFonts w:cs="Arial"/>
                <w:szCs w:val="20"/>
              </w:rPr>
              <w:instrText xml:space="preserve"> \* MERGEFORMAT </w:instrText>
            </w:r>
            <w:r w:rsidRPr="0088017A">
              <w:rPr>
                <w:rFonts w:cs="Arial"/>
                <w:szCs w:val="20"/>
              </w:rPr>
            </w:r>
            <w:r w:rsidRPr="0088017A">
              <w:rPr>
                <w:rFonts w:cs="Arial"/>
                <w:szCs w:val="20"/>
              </w:rPr>
              <w:fldChar w:fldCharType="separate"/>
            </w:r>
            <w:r w:rsidR="00A7422E" w:rsidRPr="0088017A">
              <w:rPr>
                <w:rFonts w:cs="Arial"/>
                <w:szCs w:val="20"/>
              </w:rPr>
              <w:t>E5</w:t>
            </w:r>
            <w:r w:rsidRPr="0088017A">
              <w:rPr>
                <w:rFonts w:cs="Arial"/>
                <w:szCs w:val="20"/>
              </w:rPr>
              <w:fldChar w:fldCharType="end"/>
            </w:r>
          </w:p>
        </w:tc>
        <w:tc>
          <w:tcPr>
            <w:tcW w:w="817" w:type="dxa"/>
            <w:tcBorders>
              <w:top w:val="nil"/>
              <w:left w:val="single" w:sz="6" w:space="0" w:color="auto"/>
              <w:bottom w:val="nil"/>
              <w:right w:val="nil"/>
            </w:tcBorders>
          </w:tcPr>
          <w:p w:rsidR="003D7DEF" w:rsidRPr="0088017A" w:rsidRDefault="003D7DEF" w:rsidP="001673AE">
            <w:pPr>
              <w:rPr>
                <w:rFonts w:cs="Arial"/>
                <w:szCs w:val="20"/>
              </w:rPr>
            </w:pPr>
          </w:p>
        </w:tc>
        <w:tc>
          <w:tcPr>
            <w:tcW w:w="1191" w:type="dxa"/>
            <w:tcBorders>
              <w:top w:val="nil"/>
              <w:left w:val="single" w:sz="6" w:space="0" w:color="auto"/>
              <w:bottom w:val="nil"/>
              <w:right w:val="nil"/>
            </w:tcBorders>
          </w:tcPr>
          <w:p w:rsidR="003D7DEF" w:rsidRPr="0088017A" w:rsidRDefault="003D7DEF" w:rsidP="001673AE">
            <w:pPr>
              <w:rPr>
                <w:rFonts w:cs="Arial"/>
                <w:szCs w:val="20"/>
              </w:rPr>
            </w:pPr>
          </w:p>
        </w:tc>
        <w:tc>
          <w:tcPr>
            <w:tcW w:w="1264" w:type="dxa"/>
            <w:tcBorders>
              <w:top w:val="nil"/>
              <w:left w:val="single" w:sz="6" w:space="0" w:color="auto"/>
              <w:bottom w:val="nil"/>
              <w:right w:val="nil"/>
            </w:tcBorders>
          </w:tcPr>
          <w:p w:rsidR="003D7DEF" w:rsidRPr="0088017A" w:rsidRDefault="003D7DEF" w:rsidP="001673AE">
            <w:pPr>
              <w:rPr>
                <w:rFonts w:cs="Arial"/>
                <w:szCs w:val="20"/>
              </w:rPr>
            </w:pPr>
          </w:p>
        </w:tc>
        <w:tc>
          <w:tcPr>
            <w:tcW w:w="1278" w:type="dxa"/>
            <w:tcBorders>
              <w:top w:val="nil"/>
              <w:left w:val="single" w:sz="6" w:space="0" w:color="auto"/>
              <w:bottom w:val="nil"/>
              <w:right w:val="single" w:sz="6" w:space="0" w:color="auto"/>
            </w:tcBorders>
          </w:tcPr>
          <w:p w:rsidR="003D7DEF" w:rsidRPr="0088017A" w:rsidRDefault="003D7DEF" w:rsidP="001673AE">
            <w:pPr>
              <w:rPr>
                <w:rFonts w:cs="Arial"/>
                <w:szCs w:val="20"/>
              </w:rPr>
            </w:pPr>
          </w:p>
        </w:tc>
      </w:tr>
      <w:tr w:rsidR="003D7DEF" w:rsidRPr="0088017A" w:rsidTr="001673AE">
        <w:trPr>
          <w:cantSplit/>
          <w:trHeight w:val="403"/>
        </w:trPr>
        <w:tc>
          <w:tcPr>
            <w:tcW w:w="645" w:type="dxa"/>
            <w:tcBorders>
              <w:top w:val="nil"/>
              <w:left w:val="single" w:sz="6" w:space="0" w:color="auto"/>
              <w:bottom w:val="nil"/>
              <w:right w:val="nil"/>
            </w:tcBorders>
          </w:tcPr>
          <w:p w:rsidR="003D7DEF" w:rsidRPr="0088017A" w:rsidRDefault="003D7DEF" w:rsidP="00A3353E">
            <w:pPr>
              <w:numPr>
                <w:ilvl w:val="0"/>
                <w:numId w:val="2"/>
              </w:numPr>
              <w:rPr>
                <w:rFonts w:cs="Arial"/>
                <w:szCs w:val="20"/>
              </w:rPr>
            </w:pPr>
          </w:p>
        </w:tc>
        <w:tc>
          <w:tcPr>
            <w:tcW w:w="3390" w:type="dxa"/>
            <w:tcBorders>
              <w:top w:val="nil"/>
              <w:left w:val="single" w:sz="6" w:space="0" w:color="auto"/>
              <w:bottom w:val="nil"/>
              <w:right w:val="nil"/>
            </w:tcBorders>
          </w:tcPr>
          <w:p w:rsidR="003D7DEF" w:rsidRPr="0088017A" w:rsidRDefault="00C143B4" w:rsidP="001673AE">
            <w:pPr>
              <w:rPr>
                <w:rFonts w:cs="Arial"/>
                <w:szCs w:val="20"/>
              </w:rPr>
            </w:pPr>
            <w:r w:rsidRPr="0088017A">
              <w:rPr>
                <w:rFonts w:cs="Arial"/>
                <w:szCs w:val="20"/>
              </w:rPr>
              <w:t xml:space="preserve">Standardized </w:t>
            </w:r>
            <w:r w:rsidR="003D7DEF" w:rsidRPr="0088017A">
              <w:rPr>
                <w:rFonts w:cs="Arial"/>
                <w:szCs w:val="20"/>
              </w:rPr>
              <w:t>Instrumentation</w:t>
            </w:r>
            <w:r w:rsidR="007C1368" w:rsidRPr="0088017A">
              <w:rPr>
                <w:rFonts w:cs="Arial"/>
                <w:szCs w:val="20"/>
              </w:rPr>
              <w:t xml:space="preserve"> – Base Cost</w:t>
            </w:r>
          </w:p>
        </w:tc>
        <w:tc>
          <w:tcPr>
            <w:tcW w:w="1092" w:type="dxa"/>
            <w:tcBorders>
              <w:top w:val="nil"/>
              <w:left w:val="single" w:sz="6" w:space="0" w:color="auto"/>
              <w:bottom w:val="nil"/>
              <w:right w:val="nil"/>
            </w:tcBorders>
          </w:tcPr>
          <w:p w:rsidR="003D7DEF" w:rsidRPr="0088017A" w:rsidRDefault="00C143B4" w:rsidP="00C06E6E">
            <w:pPr>
              <w:jc w:val="center"/>
              <w:rPr>
                <w:rFonts w:cs="Arial"/>
                <w:szCs w:val="20"/>
              </w:rPr>
            </w:pPr>
            <w:r w:rsidRPr="0088017A">
              <w:rPr>
                <w:rFonts w:cs="Arial"/>
                <w:szCs w:val="20"/>
              </w:rPr>
              <w:fldChar w:fldCharType="begin"/>
            </w:r>
            <w:r w:rsidRPr="0088017A">
              <w:rPr>
                <w:rFonts w:cs="Arial"/>
                <w:szCs w:val="20"/>
              </w:rPr>
              <w:instrText xml:space="preserve"> REF _Ref436401065 \r \h </w:instrText>
            </w:r>
            <w:r w:rsidR="00C06E6E" w:rsidRPr="0088017A">
              <w:rPr>
                <w:rFonts w:cs="Arial"/>
                <w:szCs w:val="20"/>
              </w:rPr>
              <w:instrText xml:space="preserve"> \* MERGEFORMAT </w:instrText>
            </w:r>
            <w:r w:rsidRPr="0088017A">
              <w:rPr>
                <w:rFonts w:cs="Arial"/>
                <w:szCs w:val="20"/>
              </w:rPr>
            </w:r>
            <w:r w:rsidRPr="0088017A">
              <w:rPr>
                <w:rFonts w:cs="Arial"/>
                <w:szCs w:val="20"/>
              </w:rPr>
              <w:fldChar w:fldCharType="separate"/>
            </w:r>
            <w:r w:rsidR="00A7422E" w:rsidRPr="0088017A">
              <w:rPr>
                <w:rFonts w:cs="Arial"/>
                <w:szCs w:val="20"/>
              </w:rPr>
              <w:t>E6</w:t>
            </w:r>
            <w:r w:rsidRPr="0088017A">
              <w:rPr>
                <w:rFonts w:cs="Arial"/>
                <w:szCs w:val="20"/>
              </w:rPr>
              <w:fldChar w:fldCharType="end"/>
            </w:r>
          </w:p>
        </w:tc>
        <w:tc>
          <w:tcPr>
            <w:tcW w:w="817" w:type="dxa"/>
            <w:tcBorders>
              <w:top w:val="nil"/>
              <w:left w:val="single" w:sz="6" w:space="0" w:color="auto"/>
              <w:bottom w:val="nil"/>
              <w:right w:val="nil"/>
            </w:tcBorders>
          </w:tcPr>
          <w:p w:rsidR="003D7DEF" w:rsidRPr="0088017A" w:rsidRDefault="003D7DEF" w:rsidP="001673AE">
            <w:pPr>
              <w:rPr>
                <w:rFonts w:cs="Arial"/>
                <w:szCs w:val="20"/>
              </w:rPr>
            </w:pPr>
          </w:p>
        </w:tc>
        <w:tc>
          <w:tcPr>
            <w:tcW w:w="1191" w:type="dxa"/>
            <w:tcBorders>
              <w:top w:val="nil"/>
              <w:left w:val="single" w:sz="6" w:space="0" w:color="auto"/>
              <w:bottom w:val="nil"/>
              <w:right w:val="nil"/>
            </w:tcBorders>
          </w:tcPr>
          <w:p w:rsidR="003D7DEF" w:rsidRPr="0088017A" w:rsidRDefault="003D7DEF" w:rsidP="001673AE">
            <w:pPr>
              <w:rPr>
                <w:rFonts w:cs="Arial"/>
                <w:szCs w:val="20"/>
              </w:rPr>
            </w:pPr>
          </w:p>
        </w:tc>
        <w:tc>
          <w:tcPr>
            <w:tcW w:w="1264" w:type="dxa"/>
            <w:tcBorders>
              <w:top w:val="nil"/>
              <w:left w:val="single" w:sz="6" w:space="0" w:color="auto"/>
              <w:bottom w:val="nil"/>
              <w:right w:val="nil"/>
            </w:tcBorders>
          </w:tcPr>
          <w:p w:rsidR="003D7DEF" w:rsidRPr="0088017A" w:rsidRDefault="003D7DEF" w:rsidP="001673AE">
            <w:pPr>
              <w:rPr>
                <w:rFonts w:cs="Arial"/>
                <w:szCs w:val="20"/>
              </w:rPr>
            </w:pPr>
          </w:p>
        </w:tc>
        <w:tc>
          <w:tcPr>
            <w:tcW w:w="1278" w:type="dxa"/>
            <w:tcBorders>
              <w:top w:val="nil"/>
              <w:left w:val="single" w:sz="6" w:space="0" w:color="auto"/>
              <w:bottom w:val="nil"/>
              <w:right w:val="single" w:sz="6" w:space="0" w:color="auto"/>
            </w:tcBorders>
          </w:tcPr>
          <w:p w:rsidR="003D7DEF" w:rsidRPr="0088017A" w:rsidRDefault="003D7DEF" w:rsidP="001673AE">
            <w:pPr>
              <w:rPr>
                <w:rFonts w:cs="Arial"/>
                <w:szCs w:val="20"/>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62626" w:rsidRPr="0088017A" w:rsidTr="00CF7391">
        <w:trPr>
          <w:cantSplit/>
          <w:trHeight w:val="403"/>
        </w:trPr>
        <w:tc>
          <w:tcPr>
            <w:tcW w:w="645" w:type="dxa"/>
            <w:tcBorders>
              <w:top w:val="nil"/>
              <w:left w:val="single" w:sz="6" w:space="0" w:color="auto"/>
              <w:bottom w:val="nil"/>
              <w:right w:val="nil"/>
            </w:tcBorders>
          </w:tcPr>
          <w:p w:rsidR="00C62626" w:rsidRPr="0088017A" w:rsidRDefault="00C62626" w:rsidP="00A3353E">
            <w:pPr>
              <w:numPr>
                <w:ilvl w:val="0"/>
                <w:numId w:val="2"/>
              </w:numPr>
              <w:rPr>
                <w:rFonts w:cs="Arial"/>
              </w:rPr>
            </w:pPr>
          </w:p>
        </w:tc>
        <w:tc>
          <w:tcPr>
            <w:tcW w:w="3390" w:type="dxa"/>
            <w:tcBorders>
              <w:top w:val="nil"/>
              <w:left w:val="single" w:sz="6" w:space="0" w:color="auto"/>
              <w:bottom w:val="nil"/>
              <w:right w:val="nil"/>
            </w:tcBorders>
          </w:tcPr>
          <w:p w:rsidR="00C62626" w:rsidRPr="0088017A" w:rsidRDefault="00C62626">
            <w:pPr>
              <w:rPr>
                <w:rFonts w:cs="Arial"/>
              </w:rPr>
            </w:pPr>
          </w:p>
        </w:tc>
        <w:tc>
          <w:tcPr>
            <w:tcW w:w="1092" w:type="dxa"/>
            <w:tcBorders>
              <w:top w:val="nil"/>
              <w:left w:val="single" w:sz="6" w:space="0" w:color="auto"/>
              <w:bottom w:val="nil"/>
              <w:right w:val="nil"/>
            </w:tcBorders>
          </w:tcPr>
          <w:p w:rsidR="00C62626" w:rsidRPr="0088017A" w:rsidRDefault="00C62626" w:rsidP="00C06E6E">
            <w:pPr>
              <w:jc w:val="center"/>
              <w:rPr>
                <w:rFonts w:cs="Arial"/>
              </w:rPr>
            </w:pPr>
          </w:p>
        </w:tc>
        <w:tc>
          <w:tcPr>
            <w:tcW w:w="817" w:type="dxa"/>
            <w:tcBorders>
              <w:top w:val="nil"/>
              <w:left w:val="single" w:sz="6" w:space="0" w:color="auto"/>
              <w:bottom w:val="nil"/>
              <w:right w:val="nil"/>
            </w:tcBorders>
          </w:tcPr>
          <w:p w:rsidR="00C62626" w:rsidRPr="0088017A" w:rsidRDefault="00C62626">
            <w:pPr>
              <w:rPr>
                <w:rFonts w:cs="Arial"/>
              </w:rPr>
            </w:pPr>
          </w:p>
        </w:tc>
        <w:tc>
          <w:tcPr>
            <w:tcW w:w="1191" w:type="dxa"/>
            <w:tcBorders>
              <w:top w:val="nil"/>
              <w:left w:val="single" w:sz="6" w:space="0" w:color="auto"/>
              <w:bottom w:val="nil"/>
              <w:right w:val="nil"/>
            </w:tcBorders>
          </w:tcPr>
          <w:p w:rsidR="00C62626" w:rsidRPr="0088017A" w:rsidRDefault="00C62626">
            <w:pPr>
              <w:rPr>
                <w:rFonts w:cs="Arial"/>
              </w:rPr>
            </w:pPr>
          </w:p>
        </w:tc>
        <w:tc>
          <w:tcPr>
            <w:tcW w:w="1264" w:type="dxa"/>
            <w:tcBorders>
              <w:top w:val="nil"/>
              <w:left w:val="single" w:sz="6" w:space="0" w:color="auto"/>
              <w:bottom w:val="nil"/>
              <w:right w:val="nil"/>
            </w:tcBorders>
          </w:tcPr>
          <w:p w:rsidR="00C62626" w:rsidRPr="0088017A" w:rsidRDefault="00C62626">
            <w:pPr>
              <w:rPr>
                <w:rFonts w:cs="Arial"/>
              </w:rPr>
            </w:pPr>
          </w:p>
        </w:tc>
        <w:tc>
          <w:tcPr>
            <w:tcW w:w="1278" w:type="dxa"/>
            <w:tcBorders>
              <w:top w:val="nil"/>
              <w:left w:val="single" w:sz="6" w:space="0" w:color="auto"/>
              <w:bottom w:val="nil"/>
              <w:right w:val="single" w:sz="6" w:space="0" w:color="auto"/>
            </w:tcBorders>
          </w:tcPr>
          <w:p w:rsidR="00C62626" w:rsidRPr="0088017A" w:rsidRDefault="00C62626">
            <w:pPr>
              <w:rPr>
                <w:rFonts w:cs="Arial"/>
              </w:rPr>
            </w:pPr>
          </w:p>
        </w:tc>
      </w:tr>
      <w:tr w:rsidR="00CF7391" w:rsidRPr="0088017A" w:rsidTr="00CF7391">
        <w:trPr>
          <w:cantSplit/>
        </w:trPr>
        <w:tc>
          <w:tcPr>
            <w:tcW w:w="9677" w:type="dxa"/>
            <w:gridSpan w:val="7"/>
            <w:tcBorders>
              <w:top w:val="single" w:sz="6" w:space="0" w:color="auto"/>
              <w:left w:val="single" w:sz="6" w:space="0" w:color="auto"/>
              <w:bottom w:val="single" w:sz="6" w:space="0" w:color="auto"/>
              <w:right w:val="single" w:sz="6" w:space="0" w:color="auto"/>
            </w:tcBorders>
          </w:tcPr>
          <w:p w:rsidR="00CF7391" w:rsidRPr="0088017A" w:rsidRDefault="00CF7391">
            <w:pPr>
              <w:tabs>
                <w:tab w:val="right" w:pos="9360"/>
              </w:tabs>
            </w:pPr>
          </w:p>
          <w:p w:rsidR="00CF7391" w:rsidRPr="0088017A" w:rsidRDefault="00CF7391">
            <w:pPr>
              <w:tabs>
                <w:tab w:val="right" w:pos="9360"/>
              </w:tabs>
            </w:pPr>
            <w:r w:rsidRPr="0088017A">
              <w:t>TOTAL BID PRICE (GST extra) (in figures) $</w:t>
            </w:r>
            <w:r w:rsidRPr="0088017A">
              <w:tab/>
              <w:t>________________________________________________</w:t>
            </w:r>
          </w:p>
          <w:p w:rsidR="00CF7391" w:rsidRPr="0088017A" w:rsidRDefault="00CF7391">
            <w:pPr>
              <w:tabs>
                <w:tab w:val="right" w:pos="9360"/>
              </w:tabs>
            </w:pPr>
          </w:p>
          <w:p w:rsidR="00CF7391" w:rsidRPr="0088017A" w:rsidRDefault="00CF7391">
            <w:pPr>
              <w:tabs>
                <w:tab w:val="right" w:pos="9360"/>
              </w:tabs>
            </w:pPr>
            <w:r w:rsidRPr="0088017A">
              <w:t>_____________________________________________________________________________________</w:t>
            </w:r>
          </w:p>
          <w:p w:rsidR="00CF7391" w:rsidRPr="0088017A" w:rsidRDefault="00CF7391">
            <w:pPr>
              <w:tabs>
                <w:tab w:val="right" w:pos="9360"/>
              </w:tabs>
            </w:pPr>
          </w:p>
          <w:p w:rsidR="00CF7391" w:rsidRPr="0088017A" w:rsidRDefault="00CF7391">
            <w:pPr>
              <w:tabs>
                <w:tab w:val="right" w:pos="9360"/>
              </w:tabs>
            </w:pPr>
            <w:r w:rsidRPr="0088017A">
              <w:tab/>
              <w:t>____________________________________________________________________________________</w:t>
            </w:r>
          </w:p>
          <w:p w:rsidR="00CF7391" w:rsidRPr="0088017A" w:rsidRDefault="00CF7391" w:rsidP="00042A33"/>
        </w:tc>
      </w:tr>
      <w:tr w:rsidR="00CF7391" w:rsidRPr="0088017A" w:rsidTr="00CF7391">
        <w:trPr>
          <w:cantSplit/>
        </w:trPr>
        <w:tc>
          <w:tcPr>
            <w:tcW w:w="9677" w:type="dxa"/>
            <w:gridSpan w:val="7"/>
            <w:tcBorders>
              <w:top w:val="single" w:sz="6" w:space="0" w:color="auto"/>
              <w:right w:val="nil"/>
            </w:tcBorders>
          </w:tcPr>
          <w:p w:rsidR="00CF7391" w:rsidRPr="0088017A" w:rsidRDefault="00CF7391">
            <w:pPr>
              <w:tabs>
                <w:tab w:val="left" w:pos="5760"/>
                <w:tab w:val="right" w:pos="9360"/>
              </w:tabs>
              <w:spacing w:before="600"/>
            </w:pPr>
            <w:r w:rsidRPr="0088017A">
              <w:tab/>
              <w:t>_________________________________</w:t>
            </w:r>
          </w:p>
          <w:p w:rsidR="00CF7391" w:rsidRPr="0088017A" w:rsidRDefault="00CF7391">
            <w:pPr>
              <w:tabs>
                <w:tab w:val="left" w:pos="5760"/>
                <w:tab w:val="right" w:pos="9360"/>
              </w:tabs>
            </w:pPr>
            <w:r w:rsidRPr="0088017A">
              <w:tab/>
              <w:t>Name of Bidder</w:t>
            </w:r>
          </w:p>
        </w:tc>
      </w:tr>
    </w:tbl>
    <w:p w:rsidR="00124D1F" w:rsidRPr="0088017A" w:rsidRDefault="00124D1F"/>
    <w:p w:rsidR="00EE3901" w:rsidRPr="0088017A" w:rsidRDefault="00EE3901"/>
    <w:p w:rsidR="00C62626" w:rsidRPr="0088017A" w:rsidRDefault="00C62626">
      <w:pPr>
        <w:sectPr w:rsidR="00C62626" w:rsidRPr="0088017A" w:rsidSect="00400F4A">
          <w:headerReference w:type="default" r:id="rId12"/>
          <w:headerReference w:type="first" r:id="rId13"/>
          <w:footerReference w:type="first" r:id="rId14"/>
          <w:endnotePr>
            <w:numFmt w:val="upperLetter"/>
          </w:endnotePr>
          <w:pgSz w:w="12240" w:h="15840" w:code="1"/>
          <w:pgMar w:top="1440" w:right="1440" w:bottom="720" w:left="1440" w:header="432" w:footer="432" w:gutter="0"/>
          <w:pgNumType w:start="1"/>
          <w:cols w:space="720"/>
        </w:sectPr>
      </w:pPr>
    </w:p>
    <w:p w:rsidR="00C62626" w:rsidRPr="0088017A" w:rsidRDefault="00C62626">
      <w:pPr>
        <w:pStyle w:val="PARTHEADING"/>
      </w:pPr>
      <w:bookmarkStart w:id="9" w:name="_Toc482432330"/>
      <w:bookmarkStart w:id="10" w:name="_Toc3968664"/>
      <w:bookmarkStart w:id="11" w:name="_Toc443923968"/>
      <w:r w:rsidRPr="0088017A">
        <w:t>Bidding Procedures</w:t>
      </w:r>
      <w:bookmarkEnd w:id="9"/>
      <w:bookmarkEnd w:id="10"/>
      <w:bookmarkEnd w:id="11"/>
    </w:p>
    <w:p w:rsidR="008930A9" w:rsidRPr="0088017A" w:rsidRDefault="008930A9" w:rsidP="008930A9">
      <w:pPr>
        <w:pStyle w:val="CLAUSEHEADING"/>
      </w:pPr>
      <w:bookmarkStart w:id="12" w:name="_Toc425945670"/>
      <w:bookmarkStart w:id="13" w:name="_Toc443923969"/>
      <w:bookmarkStart w:id="14" w:name="_Ref481903960"/>
      <w:bookmarkStart w:id="15" w:name="_Toc482432338"/>
      <w:bookmarkStart w:id="16" w:name="_Ref482432918"/>
      <w:bookmarkStart w:id="17" w:name="_Ref482433104"/>
      <w:bookmarkStart w:id="18" w:name="_Ref482433250"/>
      <w:bookmarkStart w:id="19" w:name="_Ref482434173"/>
      <w:bookmarkStart w:id="20" w:name="_Toc3968672"/>
      <w:bookmarkStart w:id="21" w:name="_Ref144000199"/>
      <w:bookmarkStart w:id="22" w:name="_Ref197848807"/>
      <w:r w:rsidRPr="0088017A">
        <w:t>Confidentiality</w:t>
      </w:r>
      <w:bookmarkEnd w:id="12"/>
      <w:bookmarkEnd w:id="13"/>
    </w:p>
    <w:p w:rsidR="008930A9" w:rsidRPr="0088017A" w:rsidRDefault="008930A9" w:rsidP="008930A9">
      <w:pPr>
        <w:pStyle w:val="Clause"/>
        <w:rPr>
          <w:iCs/>
          <w:lang w:val="en-US"/>
        </w:rPr>
      </w:pPr>
      <w:r w:rsidRPr="0088017A">
        <w:t>Information provided to a Bidder by the City or acquired by a Bidder by way of further enquiries or through investigation is confidential. Such information shall not be used or disclosed in any way without the prior written authorization of the Contract Administrator.</w:t>
      </w:r>
      <w:r w:rsidRPr="0088017A">
        <w:rPr>
          <w:color w:val="0000FF"/>
        </w:rPr>
        <w:t xml:space="preserve"> </w:t>
      </w:r>
      <w:r w:rsidRPr="0088017A">
        <w:rPr>
          <w:iCs/>
          <w:color w:val="0000FF"/>
          <w:lang w:val="en-US"/>
        </w:rPr>
        <w:t xml:space="preserve"> </w:t>
      </w:r>
      <w:r w:rsidRPr="0088017A">
        <w:rPr>
          <w:iCs/>
          <w:lang w:val="en-US"/>
        </w:rPr>
        <w:t>The use and disclosure of the confidential information shall not apply to information which:</w:t>
      </w:r>
    </w:p>
    <w:p w:rsidR="008930A9" w:rsidRPr="0088017A" w:rsidRDefault="008930A9" w:rsidP="008930A9">
      <w:pPr>
        <w:pStyle w:val="ClauseList"/>
        <w:rPr>
          <w:lang w:val="en-US"/>
        </w:rPr>
      </w:pPr>
      <w:r w:rsidRPr="0088017A">
        <w:rPr>
          <w:lang w:val="en-US"/>
        </w:rPr>
        <w:t xml:space="preserve">was known to the Bidder before receipt hereof; or </w:t>
      </w:r>
    </w:p>
    <w:p w:rsidR="008930A9" w:rsidRPr="0088017A" w:rsidRDefault="008930A9" w:rsidP="008930A9">
      <w:pPr>
        <w:pStyle w:val="ClauseList"/>
        <w:rPr>
          <w:lang w:val="en-US"/>
        </w:rPr>
      </w:pPr>
      <w:r w:rsidRPr="0088017A">
        <w:rPr>
          <w:lang w:val="en-US"/>
        </w:rPr>
        <w:t xml:space="preserve">becomes publicly known other than through the Bidder; or </w:t>
      </w:r>
    </w:p>
    <w:p w:rsidR="008930A9" w:rsidRPr="0088017A" w:rsidRDefault="008930A9" w:rsidP="008930A9">
      <w:pPr>
        <w:pStyle w:val="ClauseList"/>
      </w:pPr>
      <w:r w:rsidRPr="0088017A">
        <w:rPr>
          <w:lang w:val="en-US"/>
        </w:rPr>
        <w:t>is disclosed pursuant to the requirements of a governmental authority or judicial order.</w:t>
      </w:r>
    </w:p>
    <w:p w:rsidR="008930A9" w:rsidRPr="0088017A" w:rsidRDefault="008930A9" w:rsidP="008930A9">
      <w:pPr>
        <w:pStyle w:val="Clause"/>
      </w:pPr>
      <w:r w:rsidRPr="0088017A">
        <w:t>The Bidder shall not make any statement of fact or opinion regarding any aspect of the Bid Opportunity to the media or any member of the public without the prior written authorization of the Contract Administrator.</w:t>
      </w:r>
    </w:p>
    <w:p w:rsidR="00DB7BFE" w:rsidRPr="0088017A" w:rsidRDefault="00DB7BFE" w:rsidP="00DB7BFE">
      <w:pPr>
        <w:pStyle w:val="Clause"/>
      </w:pPr>
      <w:r w:rsidRPr="0088017A">
        <w:t xml:space="preserve">Notwithstanding B1.1, all quotations, invoices and other pricing related information associated with the </w:t>
      </w:r>
      <w:r w:rsidR="00987B6C" w:rsidRPr="0088017A">
        <w:t>S</w:t>
      </w:r>
      <w:r w:rsidRPr="0088017A">
        <w:t xml:space="preserve">tandardized </w:t>
      </w:r>
      <w:r w:rsidR="00987B6C" w:rsidRPr="0088017A">
        <w:t>Goods</w:t>
      </w:r>
      <w:r w:rsidRPr="0088017A">
        <w:t xml:space="preserve"> and acquired by a Bidder or its Subcontractors through enquiries, investigation or any other means is confidential. Such information shall not be used or disclosed in any way, other than meeting the requirements of this Bid Opportunity.</w:t>
      </w:r>
    </w:p>
    <w:p w:rsidR="00C62626" w:rsidRPr="0088017A" w:rsidRDefault="00C62626" w:rsidP="00311FC1">
      <w:pPr>
        <w:pStyle w:val="CLAUSEHEADING"/>
      </w:pPr>
      <w:bookmarkStart w:id="23" w:name="_Toc443923970"/>
      <w:r w:rsidRPr="0088017A">
        <w:t>S</w:t>
      </w:r>
      <w:bookmarkEnd w:id="14"/>
      <w:r w:rsidRPr="0088017A">
        <w:t>ubstitutes</w:t>
      </w:r>
      <w:bookmarkEnd w:id="15"/>
      <w:bookmarkEnd w:id="16"/>
      <w:bookmarkEnd w:id="17"/>
      <w:bookmarkEnd w:id="18"/>
      <w:bookmarkEnd w:id="19"/>
      <w:bookmarkEnd w:id="20"/>
      <w:bookmarkEnd w:id="21"/>
      <w:bookmarkEnd w:id="22"/>
      <w:bookmarkEnd w:id="23"/>
    </w:p>
    <w:p w:rsidR="003D7DEF" w:rsidRPr="0088017A" w:rsidRDefault="003D7DEF" w:rsidP="00311FC1">
      <w:pPr>
        <w:pStyle w:val="Clause"/>
      </w:pPr>
      <w:r w:rsidRPr="0088017A">
        <w:t xml:space="preserve">Substitutes to the City’s </w:t>
      </w:r>
      <w:r w:rsidR="009530D1" w:rsidRPr="0088017A">
        <w:t>S</w:t>
      </w:r>
      <w:r w:rsidRPr="0088017A">
        <w:t xml:space="preserve">tandardized </w:t>
      </w:r>
      <w:r w:rsidR="009530D1" w:rsidRPr="0088017A">
        <w:t>Goods</w:t>
      </w:r>
      <w:r w:rsidRPr="0088017A">
        <w:t xml:space="preserve">, as identified in </w:t>
      </w:r>
      <w:r w:rsidR="00311FC1" w:rsidRPr="0088017A">
        <w:t>E</w:t>
      </w:r>
      <w:r w:rsidR="007753E5" w:rsidRPr="0088017A">
        <w:t>2</w:t>
      </w:r>
      <w:r w:rsidRPr="0088017A">
        <w:t>, will not be accepted.</w:t>
      </w:r>
    </w:p>
    <w:p w:rsidR="00C62626" w:rsidRPr="0088017A" w:rsidRDefault="00C62626" w:rsidP="00311FC1">
      <w:pPr>
        <w:pStyle w:val="CLAUSEHEADING"/>
      </w:pPr>
      <w:bookmarkStart w:id="24" w:name="_Ref482427652"/>
      <w:bookmarkStart w:id="25" w:name="_Ref482427653"/>
      <w:bookmarkStart w:id="26" w:name="_Ref482427654"/>
      <w:bookmarkStart w:id="27" w:name="_Ref482429055"/>
      <w:bookmarkStart w:id="28" w:name="_Ref482430210"/>
      <w:bookmarkStart w:id="29" w:name="_Toc482432341"/>
      <w:bookmarkStart w:id="30" w:name="_Toc3968675"/>
      <w:bookmarkStart w:id="31" w:name="_Toc443923971"/>
      <w:r w:rsidRPr="0088017A">
        <w:t>Prices</w:t>
      </w:r>
      <w:bookmarkEnd w:id="24"/>
      <w:bookmarkEnd w:id="25"/>
      <w:bookmarkEnd w:id="26"/>
      <w:bookmarkEnd w:id="27"/>
      <w:bookmarkEnd w:id="28"/>
      <w:bookmarkEnd w:id="29"/>
      <w:bookmarkEnd w:id="30"/>
      <w:bookmarkEnd w:id="31"/>
    </w:p>
    <w:p w:rsidR="00346F98" w:rsidRPr="0088017A" w:rsidRDefault="00346F98" w:rsidP="0094019A">
      <w:pPr>
        <w:pStyle w:val="Instructions"/>
        <w:rPr>
          <w:rStyle w:val="CommentFont"/>
          <w:i/>
          <w:vanish w:val="0"/>
          <w:color w:val="C0504D" w:themeColor="accent2"/>
        </w:rPr>
      </w:pPr>
      <w:bookmarkStart w:id="32" w:name="_Ref58048028"/>
      <w:bookmarkStart w:id="33" w:name="_Ref58047574"/>
      <w:r w:rsidRPr="0088017A">
        <w:rPr>
          <w:rStyle w:val="CommentFont"/>
          <w:i/>
          <w:vanish w:val="0"/>
          <w:color w:val="C0504D" w:themeColor="accent2"/>
        </w:rPr>
        <w:t>Spec Note: MRST treatment for the below needs to be reviewed and is dependent upon the PST treatment of the overall construction bid opportunity.</w:t>
      </w:r>
    </w:p>
    <w:p w:rsidR="00346F98" w:rsidRPr="0088017A" w:rsidRDefault="003D7DEF" w:rsidP="00346F98">
      <w:pPr>
        <w:pStyle w:val="Clause"/>
      </w:pPr>
      <w:r w:rsidRPr="0088017A">
        <w:t>F</w:t>
      </w:r>
      <w:r w:rsidR="007753E5" w:rsidRPr="0088017A">
        <w:t>o</w:t>
      </w:r>
      <w:r w:rsidRPr="0088017A">
        <w:t xml:space="preserve">rm B, Item </w:t>
      </w:r>
      <w:r w:rsidR="007C1368" w:rsidRPr="0088017A">
        <w:t>6</w:t>
      </w:r>
      <w:r w:rsidRPr="0088017A">
        <w:t xml:space="preserve">: The Bidder shall enter the cost of the </w:t>
      </w:r>
      <w:r w:rsidR="00987B6C" w:rsidRPr="0088017A">
        <w:t>Standardized G</w:t>
      </w:r>
      <w:r w:rsidRPr="0088017A">
        <w:t xml:space="preserve">oods to be supplied from Schneider Electric Canada Ltd. (Schneider) as part of the </w:t>
      </w:r>
      <w:r w:rsidR="007C1368" w:rsidRPr="0088017A">
        <w:rPr>
          <w:rFonts w:cs="Arial"/>
          <w:szCs w:val="20"/>
        </w:rPr>
        <w:t xml:space="preserve">Standardized Control System and Motor Control Equipment </w:t>
      </w:r>
      <w:r w:rsidRPr="0088017A">
        <w:t xml:space="preserve">agreement identified in </w:t>
      </w:r>
      <w:r w:rsidR="007C1368" w:rsidRPr="0088017A">
        <w:rPr>
          <w:rFonts w:cs="Arial"/>
          <w:szCs w:val="20"/>
        </w:rPr>
        <w:fldChar w:fldCharType="begin"/>
      </w:r>
      <w:r w:rsidR="007C1368" w:rsidRPr="0088017A">
        <w:rPr>
          <w:rFonts w:cs="Arial"/>
          <w:szCs w:val="20"/>
        </w:rPr>
        <w:instrText xml:space="preserve"> REF _Ref436401054 \r \h  \* MERGEFORMAT </w:instrText>
      </w:r>
      <w:r w:rsidR="007C1368" w:rsidRPr="0088017A">
        <w:rPr>
          <w:rFonts w:cs="Arial"/>
          <w:szCs w:val="20"/>
        </w:rPr>
      </w:r>
      <w:r w:rsidR="007C1368" w:rsidRPr="0088017A">
        <w:rPr>
          <w:rFonts w:cs="Arial"/>
          <w:szCs w:val="20"/>
        </w:rPr>
        <w:fldChar w:fldCharType="separate"/>
      </w:r>
      <w:r w:rsidR="00A7422E" w:rsidRPr="0088017A">
        <w:rPr>
          <w:rFonts w:cs="Arial"/>
          <w:szCs w:val="20"/>
        </w:rPr>
        <w:t>E3</w:t>
      </w:r>
      <w:r w:rsidR="007C1368" w:rsidRPr="0088017A">
        <w:rPr>
          <w:rFonts w:cs="Arial"/>
          <w:szCs w:val="20"/>
        </w:rPr>
        <w:fldChar w:fldCharType="end"/>
      </w:r>
      <w:r w:rsidRPr="0088017A">
        <w:t xml:space="preserve">.  The cost shall be the base cost received from Schneider, without any mark-up </w:t>
      </w:r>
      <w:r w:rsidR="007C1368" w:rsidRPr="0088017A">
        <w:t>or taxes applied</w:t>
      </w:r>
      <w:r w:rsidRPr="0088017A">
        <w:t>.</w:t>
      </w:r>
    </w:p>
    <w:p w:rsidR="003D7DEF" w:rsidRPr="0088017A" w:rsidRDefault="003846F2" w:rsidP="003846F2">
      <w:pPr>
        <w:pStyle w:val="SubClause"/>
      </w:pPr>
      <w:r w:rsidRPr="0088017A">
        <w:t xml:space="preserve">Any mark-up </w:t>
      </w:r>
      <w:r w:rsidR="003D7DEF" w:rsidRPr="0088017A">
        <w:t xml:space="preserve">to the supply of the </w:t>
      </w:r>
      <w:r w:rsidRPr="0088017A">
        <w:t xml:space="preserve">Standardized </w:t>
      </w:r>
      <w:r w:rsidR="00346F98" w:rsidRPr="0088017A">
        <w:t>Goods</w:t>
      </w:r>
      <w:r w:rsidR="003D7DEF" w:rsidRPr="0088017A">
        <w:t xml:space="preserve"> shall be</w:t>
      </w:r>
      <w:r w:rsidRPr="0088017A">
        <w:t xml:space="preserve"> deemed to be</w:t>
      </w:r>
      <w:r w:rsidR="003D7DEF" w:rsidRPr="0088017A">
        <w:t xml:space="preserve"> included in </w:t>
      </w:r>
      <w:r w:rsidR="007C1368" w:rsidRPr="0088017A">
        <w:t xml:space="preserve">other applicable </w:t>
      </w:r>
      <w:r w:rsidR="00311FC1" w:rsidRPr="0088017A">
        <w:t xml:space="preserve">Form B </w:t>
      </w:r>
      <w:r w:rsidR="007C1368" w:rsidRPr="0088017A">
        <w:t>lines</w:t>
      </w:r>
      <w:r w:rsidR="003D7DEF" w:rsidRPr="0088017A">
        <w:t>.</w:t>
      </w:r>
    </w:p>
    <w:bookmarkEnd w:id="32"/>
    <w:bookmarkEnd w:id="33"/>
    <w:p w:rsidR="007C1368" w:rsidRPr="0088017A" w:rsidRDefault="007C1368" w:rsidP="007C1368">
      <w:pPr>
        <w:pStyle w:val="Clause"/>
      </w:pPr>
      <w:r w:rsidRPr="0088017A">
        <w:t>F</w:t>
      </w:r>
      <w:r w:rsidR="007753E5" w:rsidRPr="0088017A">
        <w:t>o</w:t>
      </w:r>
      <w:r w:rsidRPr="0088017A">
        <w:t>rm B, Item 7: The Bidder shall enter the cost</w:t>
      </w:r>
      <w:r w:rsidR="00346F98" w:rsidRPr="0088017A">
        <w:t xml:space="preserve"> </w:t>
      </w:r>
      <w:r w:rsidRPr="0088017A">
        <w:t xml:space="preserve">of the </w:t>
      </w:r>
      <w:r w:rsidR="00346F98" w:rsidRPr="0088017A">
        <w:t>Standardized G</w:t>
      </w:r>
      <w:r w:rsidRPr="0088017A">
        <w:t xml:space="preserve">oods to be supplied from Rotork Control Canada Ltd. (Rotork) as part of the </w:t>
      </w:r>
      <w:r w:rsidRPr="0088017A">
        <w:rPr>
          <w:rFonts w:cs="Arial"/>
          <w:szCs w:val="20"/>
        </w:rPr>
        <w:t xml:space="preserve">Standardized Electric Valve Actuators </w:t>
      </w:r>
      <w:r w:rsidRPr="0088017A">
        <w:t xml:space="preserve">agreement identified in </w:t>
      </w:r>
      <w:r w:rsidRPr="0088017A">
        <w:rPr>
          <w:rFonts w:cs="Arial"/>
          <w:szCs w:val="20"/>
        </w:rPr>
        <w:fldChar w:fldCharType="begin"/>
      </w:r>
      <w:r w:rsidRPr="0088017A">
        <w:rPr>
          <w:rFonts w:cs="Arial"/>
          <w:szCs w:val="20"/>
        </w:rPr>
        <w:instrText xml:space="preserve"> REF _Ref436401059 \r \h  \* MERGEFORMAT </w:instrText>
      </w:r>
      <w:r w:rsidRPr="0088017A">
        <w:rPr>
          <w:rFonts w:cs="Arial"/>
          <w:szCs w:val="20"/>
        </w:rPr>
      </w:r>
      <w:r w:rsidRPr="0088017A">
        <w:rPr>
          <w:rFonts w:cs="Arial"/>
          <w:szCs w:val="20"/>
        </w:rPr>
        <w:fldChar w:fldCharType="separate"/>
      </w:r>
      <w:r w:rsidR="00A7422E" w:rsidRPr="0088017A">
        <w:rPr>
          <w:rFonts w:cs="Arial"/>
          <w:szCs w:val="20"/>
        </w:rPr>
        <w:t>E4</w:t>
      </w:r>
      <w:r w:rsidRPr="0088017A">
        <w:rPr>
          <w:rFonts w:cs="Arial"/>
          <w:szCs w:val="20"/>
        </w:rPr>
        <w:fldChar w:fldCharType="end"/>
      </w:r>
      <w:r w:rsidRPr="0088017A">
        <w:t>.  The cost shall be the base cost received from Rotork, without</w:t>
      </w:r>
      <w:r w:rsidR="009530D1" w:rsidRPr="0088017A">
        <w:t xml:space="preserve"> any mark-up or taxes applied.</w:t>
      </w:r>
    </w:p>
    <w:p w:rsidR="00346F98" w:rsidRPr="0088017A" w:rsidRDefault="00346F98" w:rsidP="00346F98">
      <w:pPr>
        <w:pStyle w:val="SubClause"/>
      </w:pPr>
      <w:r w:rsidRPr="0088017A">
        <w:t>Any mark-up to the supply of the Standardized Goods shall be deemed to be included in other applicable Form B lines.</w:t>
      </w:r>
    </w:p>
    <w:p w:rsidR="007C1368" w:rsidRPr="0088017A" w:rsidRDefault="007C1368" w:rsidP="007C1368">
      <w:pPr>
        <w:pStyle w:val="Clause"/>
      </w:pPr>
      <w:r w:rsidRPr="0088017A">
        <w:t>F</w:t>
      </w:r>
      <w:r w:rsidR="007753E5" w:rsidRPr="0088017A">
        <w:t>o</w:t>
      </w:r>
      <w:r w:rsidRPr="0088017A">
        <w:t>rm B, Item 8: The Bidder shall enter the cost</w:t>
      </w:r>
      <w:r w:rsidR="00BC6477" w:rsidRPr="0088017A">
        <w:t xml:space="preserve"> </w:t>
      </w:r>
      <w:r w:rsidRPr="0088017A">
        <w:t xml:space="preserve">of the </w:t>
      </w:r>
      <w:r w:rsidR="00346F98" w:rsidRPr="0088017A">
        <w:t>Standardized G</w:t>
      </w:r>
      <w:r w:rsidRPr="0088017A">
        <w:t xml:space="preserve">oods to be supplied from Mine Safety Appliances Company, LLC (MSA) as part of the </w:t>
      </w:r>
      <w:r w:rsidRPr="0088017A">
        <w:rPr>
          <w:rFonts w:cs="Arial"/>
          <w:szCs w:val="20"/>
        </w:rPr>
        <w:t xml:space="preserve">Standardized Gas Detection </w:t>
      </w:r>
      <w:r w:rsidR="0014070F" w:rsidRPr="0088017A">
        <w:rPr>
          <w:rFonts w:cs="Arial"/>
          <w:szCs w:val="20"/>
        </w:rPr>
        <w:t xml:space="preserve">Systems </w:t>
      </w:r>
      <w:r w:rsidRPr="0088017A">
        <w:t xml:space="preserve">agreement identified in </w:t>
      </w:r>
      <w:r w:rsidRPr="0088017A">
        <w:rPr>
          <w:rFonts w:cs="Arial"/>
          <w:szCs w:val="20"/>
        </w:rPr>
        <w:fldChar w:fldCharType="begin"/>
      </w:r>
      <w:r w:rsidRPr="0088017A">
        <w:rPr>
          <w:rFonts w:cs="Arial"/>
          <w:szCs w:val="20"/>
        </w:rPr>
        <w:instrText xml:space="preserve"> REF _Ref436401062 \r \h  \* MERGEFORMAT </w:instrText>
      </w:r>
      <w:r w:rsidRPr="0088017A">
        <w:rPr>
          <w:rFonts w:cs="Arial"/>
          <w:szCs w:val="20"/>
        </w:rPr>
      </w:r>
      <w:r w:rsidRPr="0088017A">
        <w:rPr>
          <w:rFonts w:cs="Arial"/>
          <w:szCs w:val="20"/>
        </w:rPr>
        <w:fldChar w:fldCharType="separate"/>
      </w:r>
      <w:r w:rsidR="00A7422E" w:rsidRPr="0088017A">
        <w:rPr>
          <w:rFonts w:cs="Arial"/>
          <w:szCs w:val="20"/>
        </w:rPr>
        <w:t>E5</w:t>
      </w:r>
      <w:r w:rsidRPr="0088017A">
        <w:rPr>
          <w:rFonts w:cs="Arial"/>
          <w:szCs w:val="20"/>
        </w:rPr>
        <w:fldChar w:fldCharType="end"/>
      </w:r>
      <w:r w:rsidRPr="0088017A">
        <w:t xml:space="preserve">.  The cost shall be the base cost received from </w:t>
      </w:r>
      <w:r w:rsidR="00E578F2" w:rsidRPr="0088017A">
        <w:t>MSA</w:t>
      </w:r>
      <w:r w:rsidRPr="0088017A">
        <w:t>, without any mark-up or taxes applied.</w:t>
      </w:r>
    </w:p>
    <w:p w:rsidR="00346F98" w:rsidRPr="0088017A" w:rsidRDefault="00346F98" w:rsidP="00346F98">
      <w:pPr>
        <w:pStyle w:val="SubClause"/>
      </w:pPr>
      <w:r w:rsidRPr="0088017A">
        <w:t>Any mark-up to the supply of the Standardized Goods shall be deemed to be included in other applicable Form B lines.</w:t>
      </w:r>
    </w:p>
    <w:p w:rsidR="007C1368" w:rsidRPr="0088017A" w:rsidRDefault="007C1368" w:rsidP="00E578F2">
      <w:pPr>
        <w:pStyle w:val="Clause"/>
        <w:keepNext/>
      </w:pPr>
      <w:r w:rsidRPr="0088017A">
        <w:t>F</w:t>
      </w:r>
      <w:r w:rsidR="007753E5" w:rsidRPr="0088017A">
        <w:t>o</w:t>
      </w:r>
      <w:r w:rsidRPr="0088017A">
        <w:t>rm B, Item 9: The Bidder shall enter the cost</w:t>
      </w:r>
      <w:r w:rsidR="00346F98" w:rsidRPr="0088017A">
        <w:t xml:space="preserve"> </w:t>
      </w:r>
      <w:r w:rsidRPr="0088017A">
        <w:t xml:space="preserve">of the </w:t>
      </w:r>
      <w:r w:rsidR="00346F98" w:rsidRPr="0088017A">
        <w:t>Standardized G</w:t>
      </w:r>
      <w:r w:rsidRPr="0088017A">
        <w:t xml:space="preserve">oods to be supplied from Trans-West Supply Company Inc. (Trans-West) as part of the Standardized Instrumentation agreement identified in </w:t>
      </w:r>
      <w:r w:rsidRPr="0088017A">
        <w:rPr>
          <w:rFonts w:cs="Arial"/>
          <w:szCs w:val="20"/>
        </w:rPr>
        <w:fldChar w:fldCharType="begin"/>
      </w:r>
      <w:r w:rsidRPr="0088017A">
        <w:rPr>
          <w:rFonts w:cs="Arial"/>
          <w:szCs w:val="20"/>
        </w:rPr>
        <w:instrText xml:space="preserve"> REF _Ref436401065 \r \h  \* MERGEFORMAT </w:instrText>
      </w:r>
      <w:r w:rsidRPr="0088017A">
        <w:rPr>
          <w:rFonts w:cs="Arial"/>
          <w:szCs w:val="20"/>
        </w:rPr>
      </w:r>
      <w:r w:rsidRPr="0088017A">
        <w:rPr>
          <w:rFonts w:cs="Arial"/>
          <w:szCs w:val="20"/>
        </w:rPr>
        <w:fldChar w:fldCharType="separate"/>
      </w:r>
      <w:r w:rsidR="00A7422E" w:rsidRPr="0088017A">
        <w:rPr>
          <w:rFonts w:cs="Arial"/>
          <w:szCs w:val="20"/>
        </w:rPr>
        <w:t>E6</w:t>
      </w:r>
      <w:r w:rsidRPr="0088017A">
        <w:rPr>
          <w:rFonts w:cs="Arial"/>
          <w:szCs w:val="20"/>
        </w:rPr>
        <w:fldChar w:fldCharType="end"/>
      </w:r>
      <w:r w:rsidRPr="0088017A">
        <w:t>.  The cost shall be the base cost received from Trans-West, withou</w:t>
      </w:r>
      <w:r w:rsidR="009530D1" w:rsidRPr="0088017A">
        <w:t>t any mark-up or taxes applied.</w:t>
      </w:r>
    </w:p>
    <w:p w:rsidR="00346F98" w:rsidRPr="0088017A" w:rsidRDefault="00346F98" w:rsidP="00346F98">
      <w:pPr>
        <w:pStyle w:val="SubClause"/>
      </w:pPr>
      <w:r w:rsidRPr="0088017A">
        <w:t>Any mark-up to the supply of the Standardized Goods shall be deemed to be included in other applicable Form B lines.</w:t>
      </w:r>
    </w:p>
    <w:p w:rsidR="007C1368" w:rsidRPr="0088017A" w:rsidRDefault="007C1368">
      <w:pPr>
        <w:rPr>
          <w:strike/>
        </w:rPr>
      </w:pPr>
    </w:p>
    <w:p w:rsidR="00346F98" w:rsidRPr="0088017A" w:rsidRDefault="00346F98">
      <w:pPr>
        <w:rPr>
          <w:strike/>
        </w:rPr>
        <w:sectPr w:rsidR="00346F98" w:rsidRPr="0088017A" w:rsidSect="00B35C0E">
          <w:headerReference w:type="default" r:id="rId15"/>
          <w:footerReference w:type="default" r:id="rId16"/>
          <w:endnotePr>
            <w:numFmt w:val="upperLetter"/>
          </w:endnotePr>
          <w:pgSz w:w="12240" w:h="15840" w:code="1"/>
          <w:pgMar w:top="1440" w:right="1440" w:bottom="432" w:left="1440" w:header="432" w:footer="432" w:gutter="0"/>
          <w:pgNumType w:start="1"/>
          <w:cols w:space="720"/>
        </w:sectPr>
      </w:pPr>
    </w:p>
    <w:p w:rsidR="00C62626" w:rsidRPr="0088017A" w:rsidRDefault="00C62626">
      <w:pPr>
        <w:pStyle w:val="PARTHEADING"/>
      </w:pPr>
      <w:bookmarkStart w:id="34" w:name="_Toc443923972"/>
      <w:r w:rsidRPr="0088017A">
        <w:t>General Conditions</w:t>
      </w:r>
      <w:bookmarkEnd w:id="34"/>
    </w:p>
    <w:p w:rsidR="00C62626" w:rsidRPr="0088017A" w:rsidRDefault="00C62626"/>
    <w:p w:rsidR="00C62626" w:rsidRPr="0088017A" w:rsidRDefault="00C62626">
      <w:pPr>
        <w:sectPr w:rsidR="00C62626" w:rsidRPr="0088017A" w:rsidSect="00B35C0E">
          <w:headerReference w:type="default" r:id="rId17"/>
          <w:endnotePr>
            <w:numFmt w:val="upperLetter"/>
          </w:endnotePr>
          <w:pgSz w:w="12240" w:h="15840" w:code="1"/>
          <w:pgMar w:top="1440" w:right="1440" w:bottom="432" w:left="1440" w:header="432" w:footer="432" w:gutter="0"/>
          <w:pgNumType w:start="1"/>
          <w:cols w:space="720"/>
        </w:sectPr>
      </w:pPr>
    </w:p>
    <w:p w:rsidR="00C62626" w:rsidRPr="0088017A" w:rsidRDefault="00C62626" w:rsidP="00A3353E">
      <w:pPr>
        <w:pStyle w:val="PARTHEADING"/>
        <w:numPr>
          <w:ilvl w:val="0"/>
          <w:numId w:val="3"/>
        </w:numPr>
      </w:pPr>
      <w:bookmarkStart w:id="35" w:name="_Toc482432353"/>
      <w:bookmarkStart w:id="36" w:name="_Toc3968686"/>
      <w:bookmarkStart w:id="37" w:name="_Toc443923973"/>
      <w:r w:rsidRPr="0088017A">
        <w:t>Supplemental Conditions</w:t>
      </w:r>
      <w:bookmarkEnd w:id="35"/>
      <w:bookmarkEnd w:id="36"/>
      <w:bookmarkEnd w:id="37"/>
    </w:p>
    <w:p w:rsidR="00C62626" w:rsidRPr="0088017A" w:rsidRDefault="00C62626" w:rsidP="00311FC1">
      <w:pPr>
        <w:pStyle w:val="SUBHEADING"/>
      </w:pPr>
      <w:bookmarkStart w:id="38" w:name="_Toc482432354"/>
      <w:bookmarkStart w:id="39" w:name="_Toc3968687"/>
      <w:bookmarkStart w:id="40" w:name="_Toc443923974"/>
      <w:r w:rsidRPr="0088017A">
        <w:t>General</w:t>
      </w:r>
      <w:bookmarkEnd w:id="38"/>
      <w:bookmarkEnd w:id="39"/>
      <w:bookmarkEnd w:id="40"/>
    </w:p>
    <w:p w:rsidR="00C62626" w:rsidRPr="0088017A" w:rsidRDefault="00C62626" w:rsidP="00311FC1">
      <w:pPr>
        <w:pStyle w:val="CLAUSEHEADING"/>
      </w:pPr>
      <w:bookmarkStart w:id="41" w:name="_Ref482427803"/>
      <w:bookmarkStart w:id="42" w:name="_Ref482427855"/>
      <w:bookmarkStart w:id="43" w:name="_Ref482429177"/>
      <w:bookmarkStart w:id="44" w:name="_Toc482432357"/>
      <w:bookmarkStart w:id="45" w:name="_Toc3968690"/>
      <w:bookmarkStart w:id="46" w:name="_Toc443923975"/>
      <w:r w:rsidRPr="0088017A">
        <w:t>Definitions</w:t>
      </w:r>
      <w:bookmarkEnd w:id="41"/>
      <w:bookmarkEnd w:id="42"/>
      <w:bookmarkEnd w:id="43"/>
      <w:bookmarkEnd w:id="44"/>
      <w:bookmarkEnd w:id="45"/>
      <w:bookmarkEnd w:id="46"/>
    </w:p>
    <w:p w:rsidR="00C62626" w:rsidRPr="0088017A" w:rsidRDefault="00C62626" w:rsidP="00311FC1">
      <w:pPr>
        <w:pStyle w:val="Clause"/>
      </w:pPr>
      <w:r w:rsidRPr="0088017A">
        <w:t xml:space="preserve">When used in this </w:t>
      </w:r>
      <w:r w:rsidR="0028672C" w:rsidRPr="0088017A">
        <w:t>Bid Opportunity</w:t>
      </w:r>
      <w:r w:rsidRPr="0088017A">
        <w:t>:</w:t>
      </w:r>
    </w:p>
    <w:p w:rsidR="00987B6C" w:rsidRPr="0088017A" w:rsidRDefault="00987B6C" w:rsidP="00987B6C">
      <w:pPr>
        <w:pStyle w:val="ClauseList"/>
      </w:pPr>
      <w:r w:rsidRPr="0088017A">
        <w:t>”</w:t>
      </w:r>
      <w:r w:rsidRPr="0088017A">
        <w:rPr>
          <w:b/>
          <w:bCs/>
        </w:rPr>
        <w:t>Standardized Goods</w:t>
      </w:r>
      <w:r w:rsidRPr="0088017A">
        <w:t xml:space="preserve">” means </w:t>
      </w:r>
      <w:r w:rsidR="009530D1" w:rsidRPr="0088017A">
        <w:t xml:space="preserve">the respective goods identified in D2 that have been </w:t>
      </w:r>
      <w:r w:rsidRPr="0088017A">
        <w:t>standardized by the</w:t>
      </w:r>
      <w:r w:rsidR="00E578F2" w:rsidRPr="0088017A">
        <w:t xml:space="preserve"> City</w:t>
      </w:r>
      <w:r w:rsidR="009530D1" w:rsidRPr="0088017A">
        <w:t>.</w:t>
      </w:r>
    </w:p>
    <w:p w:rsidR="00C62626" w:rsidRPr="0088017A" w:rsidRDefault="00C62626" w:rsidP="00311FC1">
      <w:pPr>
        <w:pStyle w:val="ClauseList"/>
      </w:pPr>
      <w:r w:rsidRPr="0088017A">
        <w:t>”</w:t>
      </w:r>
      <w:r w:rsidR="00252842" w:rsidRPr="0088017A">
        <w:rPr>
          <w:b/>
          <w:bCs/>
        </w:rPr>
        <w:t>Standardization Vendor</w:t>
      </w:r>
      <w:r w:rsidRPr="0088017A">
        <w:t xml:space="preserve">” means </w:t>
      </w:r>
      <w:r w:rsidR="00252842" w:rsidRPr="0088017A">
        <w:t>a contractor or supplie</w:t>
      </w:r>
      <w:r w:rsidR="00531A00" w:rsidRPr="0088017A">
        <w:t>r</w:t>
      </w:r>
      <w:r w:rsidR="00252842" w:rsidRPr="0088017A">
        <w:t xml:space="preserve"> </w:t>
      </w:r>
      <w:r w:rsidR="00F825F9" w:rsidRPr="0088017A">
        <w:t>of</w:t>
      </w:r>
      <w:r w:rsidR="0014070F" w:rsidRPr="0088017A">
        <w:t xml:space="preserve"> </w:t>
      </w:r>
      <w:r w:rsidR="009530D1" w:rsidRPr="0088017A">
        <w:t>Standardized G</w:t>
      </w:r>
      <w:r w:rsidR="0014070F" w:rsidRPr="0088017A">
        <w:t xml:space="preserve">oods, as </w:t>
      </w:r>
      <w:r w:rsidR="00252842" w:rsidRPr="0088017A">
        <w:t xml:space="preserve">identified in </w:t>
      </w:r>
      <w:r w:rsidR="00244DFA" w:rsidRPr="0088017A">
        <w:fldChar w:fldCharType="begin"/>
      </w:r>
      <w:r w:rsidR="00244DFA" w:rsidRPr="0088017A">
        <w:instrText xml:space="preserve"> REF _Ref441678920 \r \h </w:instrText>
      </w:r>
      <w:r w:rsidR="00791159" w:rsidRPr="0088017A">
        <w:instrText xml:space="preserve"> \* MERGEFORMAT </w:instrText>
      </w:r>
      <w:r w:rsidR="00244DFA" w:rsidRPr="0088017A">
        <w:fldChar w:fldCharType="separate"/>
      </w:r>
      <w:r w:rsidR="00A7422E" w:rsidRPr="0088017A">
        <w:t>D2</w:t>
      </w:r>
      <w:r w:rsidR="00244DFA" w:rsidRPr="0088017A">
        <w:fldChar w:fldCharType="end"/>
      </w:r>
      <w:r w:rsidR="00244DFA" w:rsidRPr="0088017A">
        <w:t>.</w:t>
      </w:r>
    </w:p>
    <w:p w:rsidR="00F63EBE" w:rsidRPr="0088017A" w:rsidRDefault="00F63EBE" w:rsidP="00311FC1">
      <w:pPr>
        <w:pStyle w:val="SUBHEADING"/>
      </w:pPr>
      <w:bookmarkStart w:id="47" w:name="_Toc443923976"/>
      <w:bookmarkStart w:id="48" w:name="_Toc482432377"/>
      <w:bookmarkStart w:id="49" w:name="_Toc3968710"/>
      <w:r w:rsidRPr="0088017A">
        <w:t>Standardization</w:t>
      </w:r>
      <w:bookmarkEnd w:id="47"/>
    </w:p>
    <w:p w:rsidR="00F63EBE" w:rsidRPr="0088017A" w:rsidRDefault="00F63EBE" w:rsidP="00311FC1">
      <w:pPr>
        <w:pStyle w:val="CLAUSEHEADING"/>
      </w:pPr>
      <w:bookmarkStart w:id="50" w:name="_Ref441678920"/>
      <w:bookmarkStart w:id="51" w:name="_Toc443923977"/>
      <w:r w:rsidRPr="0088017A">
        <w:t>Standardiz</w:t>
      </w:r>
      <w:r w:rsidR="0014070F" w:rsidRPr="0088017A">
        <w:t>ed Goods</w:t>
      </w:r>
      <w:bookmarkEnd w:id="50"/>
      <w:bookmarkEnd w:id="51"/>
    </w:p>
    <w:p w:rsidR="0014070F" w:rsidRPr="0088017A" w:rsidRDefault="0014070F" w:rsidP="0014070F">
      <w:pPr>
        <w:pStyle w:val="Clause"/>
      </w:pPr>
      <w:bookmarkStart w:id="52" w:name="_Ref436820792"/>
      <w:r w:rsidRPr="0088017A">
        <w:t>The following goods have been standardized by the City and will be supplied by the City:</w:t>
      </w:r>
    </w:p>
    <w:p w:rsidR="0014070F" w:rsidRPr="0088017A" w:rsidRDefault="0014070F" w:rsidP="0014070F">
      <w:pPr>
        <w:pStyle w:val="ClauseList"/>
      </w:pPr>
      <w:r w:rsidRPr="0088017A">
        <w:rPr>
          <w:rFonts w:cs="Arial"/>
          <w:szCs w:val="20"/>
        </w:rPr>
        <w:t xml:space="preserve">Standardized Uninterruptible Power Supplies as per </w:t>
      </w:r>
      <w:r w:rsidRPr="0088017A">
        <w:rPr>
          <w:rFonts w:cs="Arial"/>
          <w:szCs w:val="20"/>
        </w:rPr>
        <w:fldChar w:fldCharType="begin"/>
      </w:r>
      <w:r w:rsidRPr="0088017A">
        <w:rPr>
          <w:rFonts w:cs="Arial"/>
          <w:szCs w:val="20"/>
        </w:rPr>
        <w:instrText xml:space="preserve"> REF _Ref436821087 \r \h </w:instrText>
      </w:r>
      <w:r w:rsidR="0088017A">
        <w:rPr>
          <w:rFonts w:cs="Arial"/>
          <w:szCs w:val="20"/>
        </w:rPr>
        <w:instrText xml:space="preserve"> \* MERGEFORMAT </w:instrText>
      </w:r>
      <w:r w:rsidRPr="0088017A">
        <w:rPr>
          <w:rFonts w:cs="Arial"/>
          <w:szCs w:val="20"/>
        </w:rPr>
      </w:r>
      <w:r w:rsidRPr="0088017A">
        <w:rPr>
          <w:rFonts w:cs="Arial"/>
          <w:szCs w:val="20"/>
        </w:rPr>
        <w:fldChar w:fldCharType="separate"/>
      </w:r>
      <w:r w:rsidR="00A7422E" w:rsidRPr="0088017A">
        <w:rPr>
          <w:rFonts w:cs="Arial"/>
          <w:szCs w:val="20"/>
        </w:rPr>
        <w:t>E1</w:t>
      </w:r>
      <w:r w:rsidRPr="0088017A">
        <w:rPr>
          <w:rFonts w:cs="Arial"/>
          <w:szCs w:val="20"/>
        </w:rPr>
        <w:fldChar w:fldCharType="end"/>
      </w:r>
      <w:r w:rsidRPr="0088017A">
        <w:t>.</w:t>
      </w:r>
    </w:p>
    <w:p w:rsidR="0014070F" w:rsidRPr="0088017A" w:rsidRDefault="0014070F" w:rsidP="00311FC1">
      <w:pPr>
        <w:pStyle w:val="Clause"/>
      </w:pPr>
      <w:r w:rsidRPr="0088017A">
        <w:t>The following goods have been standardized by the City and will be supplied by the Contractor:</w:t>
      </w:r>
      <w:bookmarkEnd w:id="52"/>
    </w:p>
    <w:p w:rsidR="0014070F" w:rsidRPr="0088017A" w:rsidRDefault="0014070F" w:rsidP="0014070F">
      <w:pPr>
        <w:pStyle w:val="ClauseList"/>
      </w:pPr>
      <w:r w:rsidRPr="0088017A">
        <w:rPr>
          <w:rFonts w:cs="Arial"/>
          <w:szCs w:val="20"/>
        </w:rPr>
        <w:t xml:space="preserve">Standardized Control System and Motor Control Equipment as per </w:t>
      </w:r>
      <w:r w:rsidRPr="0088017A">
        <w:rPr>
          <w:rFonts w:cs="Arial"/>
          <w:szCs w:val="20"/>
        </w:rPr>
        <w:fldChar w:fldCharType="begin"/>
      </w:r>
      <w:r w:rsidRPr="0088017A">
        <w:rPr>
          <w:rFonts w:cs="Arial"/>
          <w:szCs w:val="20"/>
        </w:rPr>
        <w:instrText xml:space="preserve"> REF _Ref436401054 \r \h  \* MERGEFORMAT </w:instrText>
      </w:r>
      <w:r w:rsidRPr="0088017A">
        <w:rPr>
          <w:rFonts w:cs="Arial"/>
          <w:szCs w:val="20"/>
        </w:rPr>
      </w:r>
      <w:r w:rsidRPr="0088017A">
        <w:rPr>
          <w:rFonts w:cs="Arial"/>
          <w:szCs w:val="20"/>
        </w:rPr>
        <w:fldChar w:fldCharType="separate"/>
      </w:r>
      <w:r w:rsidR="00A7422E" w:rsidRPr="0088017A">
        <w:rPr>
          <w:rFonts w:cs="Arial"/>
          <w:szCs w:val="20"/>
        </w:rPr>
        <w:t>E3</w:t>
      </w:r>
      <w:r w:rsidRPr="0088017A">
        <w:rPr>
          <w:rFonts w:cs="Arial"/>
          <w:szCs w:val="20"/>
        </w:rPr>
        <w:fldChar w:fldCharType="end"/>
      </w:r>
      <w:r w:rsidRPr="0088017A">
        <w:t>.</w:t>
      </w:r>
    </w:p>
    <w:p w:rsidR="0014070F" w:rsidRPr="0088017A" w:rsidRDefault="0014070F" w:rsidP="0014070F">
      <w:pPr>
        <w:pStyle w:val="ClauseList"/>
      </w:pPr>
      <w:r w:rsidRPr="0088017A">
        <w:rPr>
          <w:rFonts w:cs="Arial"/>
          <w:szCs w:val="20"/>
        </w:rPr>
        <w:t xml:space="preserve">Standardized Electric Valve Actuators </w:t>
      </w:r>
      <w:r w:rsidRPr="0088017A">
        <w:t xml:space="preserve">as per </w:t>
      </w:r>
      <w:r w:rsidRPr="0088017A">
        <w:rPr>
          <w:rFonts w:cs="Arial"/>
          <w:szCs w:val="20"/>
        </w:rPr>
        <w:fldChar w:fldCharType="begin"/>
      </w:r>
      <w:r w:rsidRPr="0088017A">
        <w:rPr>
          <w:rFonts w:cs="Arial"/>
          <w:szCs w:val="20"/>
        </w:rPr>
        <w:instrText xml:space="preserve"> REF _Ref436401059 \r \h  \* MERGEFORMAT </w:instrText>
      </w:r>
      <w:r w:rsidRPr="0088017A">
        <w:rPr>
          <w:rFonts w:cs="Arial"/>
          <w:szCs w:val="20"/>
        </w:rPr>
      </w:r>
      <w:r w:rsidRPr="0088017A">
        <w:rPr>
          <w:rFonts w:cs="Arial"/>
          <w:szCs w:val="20"/>
        </w:rPr>
        <w:fldChar w:fldCharType="separate"/>
      </w:r>
      <w:r w:rsidR="00A7422E" w:rsidRPr="0088017A">
        <w:rPr>
          <w:rFonts w:cs="Arial"/>
          <w:szCs w:val="20"/>
        </w:rPr>
        <w:t>E4</w:t>
      </w:r>
      <w:r w:rsidRPr="0088017A">
        <w:rPr>
          <w:rFonts w:cs="Arial"/>
          <w:szCs w:val="20"/>
        </w:rPr>
        <w:fldChar w:fldCharType="end"/>
      </w:r>
      <w:r w:rsidRPr="0088017A">
        <w:t>.</w:t>
      </w:r>
    </w:p>
    <w:p w:rsidR="0014070F" w:rsidRPr="0088017A" w:rsidRDefault="0014070F" w:rsidP="0014070F">
      <w:pPr>
        <w:pStyle w:val="ClauseList"/>
      </w:pPr>
      <w:r w:rsidRPr="0088017A">
        <w:rPr>
          <w:rFonts w:cs="Arial"/>
          <w:szCs w:val="20"/>
        </w:rPr>
        <w:t xml:space="preserve">Standardized Gas Detection Systems </w:t>
      </w:r>
      <w:r w:rsidRPr="0088017A">
        <w:t xml:space="preserve">as per </w:t>
      </w:r>
      <w:r w:rsidRPr="0088017A">
        <w:rPr>
          <w:rFonts w:cs="Arial"/>
          <w:szCs w:val="20"/>
        </w:rPr>
        <w:fldChar w:fldCharType="begin"/>
      </w:r>
      <w:r w:rsidRPr="0088017A">
        <w:rPr>
          <w:rFonts w:cs="Arial"/>
          <w:szCs w:val="20"/>
        </w:rPr>
        <w:instrText xml:space="preserve"> REF _Ref436401062 \r \h  \* MERGEFORMAT </w:instrText>
      </w:r>
      <w:r w:rsidRPr="0088017A">
        <w:rPr>
          <w:rFonts w:cs="Arial"/>
          <w:szCs w:val="20"/>
        </w:rPr>
      </w:r>
      <w:r w:rsidRPr="0088017A">
        <w:rPr>
          <w:rFonts w:cs="Arial"/>
          <w:szCs w:val="20"/>
        </w:rPr>
        <w:fldChar w:fldCharType="separate"/>
      </w:r>
      <w:r w:rsidR="00A7422E" w:rsidRPr="0088017A">
        <w:rPr>
          <w:rFonts w:cs="Arial"/>
          <w:szCs w:val="20"/>
        </w:rPr>
        <w:t>E5</w:t>
      </w:r>
      <w:r w:rsidRPr="0088017A">
        <w:rPr>
          <w:rFonts w:cs="Arial"/>
          <w:szCs w:val="20"/>
        </w:rPr>
        <w:fldChar w:fldCharType="end"/>
      </w:r>
      <w:r w:rsidRPr="0088017A">
        <w:t xml:space="preserve">.  </w:t>
      </w:r>
    </w:p>
    <w:p w:rsidR="0014070F" w:rsidRPr="0088017A" w:rsidRDefault="0014070F" w:rsidP="0014070F">
      <w:pPr>
        <w:pStyle w:val="ClauseList"/>
      </w:pPr>
      <w:r w:rsidRPr="0088017A">
        <w:t xml:space="preserve">Standardized Instrumentation as per </w:t>
      </w:r>
      <w:r w:rsidRPr="0088017A">
        <w:rPr>
          <w:rFonts w:cs="Arial"/>
          <w:szCs w:val="20"/>
        </w:rPr>
        <w:fldChar w:fldCharType="begin"/>
      </w:r>
      <w:r w:rsidRPr="0088017A">
        <w:rPr>
          <w:rFonts w:cs="Arial"/>
          <w:szCs w:val="20"/>
        </w:rPr>
        <w:instrText xml:space="preserve"> REF _Ref436401065 \r \h  \* MERGEFORMAT </w:instrText>
      </w:r>
      <w:r w:rsidRPr="0088017A">
        <w:rPr>
          <w:rFonts w:cs="Arial"/>
          <w:szCs w:val="20"/>
        </w:rPr>
      </w:r>
      <w:r w:rsidRPr="0088017A">
        <w:rPr>
          <w:rFonts w:cs="Arial"/>
          <w:szCs w:val="20"/>
        </w:rPr>
        <w:fldChar w:fldCharType="separate"/>
      </w:r>
      <w:r w:rsidR="00A7422E" w:rsidRPr="0088017A">
        <w:rPr>
          <w:rFonts w:cs="Arial"/>
          <w:szCs w:val="20"/>
        </w:rPr>
        <w:t>E6</w:t>
      </w:r>
      <w:r w:rsidRPr="0088017A">
        <w:rPr>
          <w:rFonts w:cs="Arial"/>
          <w:szCs w:val="20"/>
        </w:rPr>
        <w:fldChar w:fldCharType="end"/>
      </w:r>
      <w:r w:rsidRPr="0088017A">
        <w:rPr>
          <w:rFonts w:cs="Arial"/>
          <w:szCs w:val="20"/>
        </w:rPr>
        <w:t>.</w:t>
      </w:r>
    </w:p>
    <w:p w:rsidR="00F50D83" w:rsidRPr="0088017A" w:rsidRDefault="00F50D83" w:rsidP="00F50D83">
      <w:pPr>
        <w:pStyle w:val="CLAUSEHEADING"/>
      </w:pPr>
      <w:bookmarkStart w:id="53" w:name="_Toc443923978"/>
      <w:bookmarkStart w:id="54" w:name="_Ref436232072"/>
      <w:r w:rsidRPr="0088017A">
        <w:t>Contractual Arrangement</w:t>
      </w:r>
      <w:bookmarkEnd w:id="53"/>
    </w:p>
    <w:p w:rsidR="00F50D83" w:rsidRPr="0088017A" w:rsidRDefault="00F50D83" w:rsidP="00F50D83">
      <w:pPr>
        <w:pStyle w:val="Clause"/>
      </w:pPr>
      <w:r w:rsidRPr="0088017A">
        <w:t xml:space="preserve">Each Standardization Vendor </w:t>
      </w:r>
      <w:r w:rsidR="00987B6C" w:rsidRPr="0088017A">
        <w:t xml:space="preserve">shall </w:t>
      </w:r>
      <w:r w:rsidRPr="0088017A">
        <w:t>be a Subcontractor of the Contractor.</w:t>
      </w:r>
    </w:p>
    <w:p w:rsidR="00AD073C" w:rsidRPr="0088017A" w:rsidRDefault="00F8074C" w:rsidP="00F50D83">
      <w:pPr>
        <w:pStyle w:val="Clause"/>
      </w:pPr>
      <w:bookmarkStart w:id="55" w:name="_Ref443923111"/>
      <w:r w:rsidRPr="0088017A">
        <w:t>The City’s contract with each of the Standardization Vendors</w:t>
      </w:r>
      <w:r w:rsidR="00AD073C" w:rsidRPr="0088017A">
        <w:t xml:space="preserve"> defines the prices and general terms of supply to the Contractor.  Each Standardization Vendor is obligated to enter into a contract with the Contractor</w:t>
      </w:r>
      <w:r w:rsidR="00987B6C" w:rsidRPr="0088017A">
        <w:t>,</w:t>
      </w:r>
      <w:r w:rsidR="00AD073C" w:rsidRPr="0088017A">
        <w:t xml:space="preserve"> based upon </w:t>
      </w:r>
      <w:r w:rsidR="00250F2B" w:rsidRPr="0088017A">
        <w:t>such</w:t>
      </w:r>
      <w:r w:rsidR="00AD073C" w:rsidRPr="0088017A">
        <w:t xml:space="preserve"> prices and </w:t>
      </w:r>
      <w:r w:rsidR="00250F2B" w:rsidRPr="0088017A">
        <w:t xml:space="preserve">general </w:t>
      </w:r>
      <w:r w:rsidR="00AD073C" w:rsidRPr="0088017A">
        <w:t xml:space="preserve">terms </w:t>
      </w:r>
      <w:r w:rsidR="00250F2B" w:rsidRPr="0088017A">
        <w:t>of supply.</w:t>
      </w:r>
      <w:bookmarkEnd w:id="55"/>
    </w:p>
    <w:p w:rsidR="00AD073C" w:rsidRPr="0088017A" w:rsidRDefault="00E6361E" w:rsidP="00F50D83">
      <w:pPr>
        <w:pStyle w:val="SubClause"/>
      </w:pPr>
      <w:bookmarkStart w:id="56" w:name="_Ref443923288"/>
      <w:r w:rsidRPr="0088017A">
        <w:t xml:space="preserve">The </w:t>
      </w:r>
      <w:r w:rsidR="00DB7BFE" w:rsidRPr="0088017A">
        <w:t xml:space="preserve">City is not a party to any </w:t>
      </w:r>
      <w:r w:rsidRPr="0088017A">
        <w:t xml:space="preserve">contract between </w:t>
      </w:r>
      <w:r w:rsidR="00DB7BFE" w:rsidRPr="0088017A">
        <w:t>a</w:t>
      </w:r>
      <w:r w:rsidRPr="0088017A">
        <w:t xml:space="preserve"> Standardization Vendor and the Contractor, or </w:t>
      </w:r>
      <w:r w:rsidR="00DB7BFE" w:rsidRPr="0088017A">
        <w:t>any</w:t>
      </w:r>
      <w:r w:rsidRPr="0088017A">
        <w:t xml:space="preserve"> Subcontractor</w:t>
      </w:r>
      <w:r w:rsidR="00DB7BFE" w:rsidRPr="0088017A">
        <w:t>.</w:t>
      </w:r>
      <w:bookmarkEnd w:id="56"/>
    </w:p>
    <w:p w:rsidR="005C4308" w:rsidRPr="0088017A" w:rsidRDefault="005C4308" w:rsidP="005C4308">
      <w:pPr>
        <w:pStyle w:val="Clause"/>
      </w:pPr>
      <w:r w:rsidRPr="0088017A">
        <w:t>In the event that a potential dispute arises between the Contractor and a Standardization Vendor, the Contract Administrator shall be notified.</w:t>
      </w:r>
    </w:p>
    <w:p w:rsidR="00F63EBE" w:rsidRPr="0088017A" w:rsidRDefault="00F63EBE" w:rsidP="00311FC1">
      <w:pPr>
        <w:pStyle w:val="CLAUSEHEADING"/>
      </w:pPr>
      <w:bookmarkStart w:id="57" w:name="_Ref436822803"/>
      <w:bookmarkStart w:id="58" w:name="_Toc443923979"/>
      <w:r w:rsidRPr="0088017A">
        <w:t>Payment of Standardization Vendors</w:t>
      </w:r>
      <w:bookmarkEnd w:id="54"/>
      <w:bookmarkEnd w:id="57"/>
      <w:bookmarkEnd w:id="58"/>
    </w:p>
    <w:p w:rsidR="00C73AAA" w:rsidRPr="0088017A" w:rsidRDefault="009530D1" w:rsidP="00C73AAA">
      <w:pPr>
        <w:pStyle w:val="Clause"/>
      </w:pPr>
      <w:r w:rsidRPr="0088017A">
        <w:t>The C</w:t>
      </w:r>
      <w:r w:rsidR="00250F2B" w:rsidRPr="0088017A">
        <w:t>ontractor</w:t>
      </w:r>
      <w:r w:rsidRPr="0088017A">
        <w:t xml:space="preserve"> is</w:t>
      </w:r>
      <w:r w:rsidR="00250F2B" w:rsidRPr="0088017A">
        <w:t xml:space="preserve"> obligated to pay the Standardization Vendors in accordance with general terms of supply</w:t>
      </w:r>
      <w:r w:rsidR="00790FA0" w:rsidRPr="0088017A">
        <w:t xml:space="preserve"> applicable to such Standardization Vendor</w:t>
      </w:r>
      <w:r w:rsidR="00C73AAA" w:rsidRPr="0088017A">
        <w:t>.</w:t>
      </w:r>
    </w:p>
    <w:p w:rsidR="00AB4E0C" w:rsidRPr="0088017A" w:rsidRDefault="00AB4E0C" w:rsidP="00AB4E0C">
      <w:pPr>
        <w:pStyle w:val="Clause"/>
      </w:pPr>
      <w:r w:rsidRPr="0088017A">
        <w:t xml:space="preserve">The </w:t>
      </w:r>
      <w:r w:rsidR="00790FA0" w:rsidRPr="0088017A">
        <w:t xml:space="preserve">Contractor’s </w:t>
      </w:r>
      <w:r w:rsidRPr="0088017A">
        <w:t>p</w:t>
      </w:r>
      <w:r w:rsidR="00790FA0" w:rsidRPr="0088017A">
        <w:t xml:space="preserve">ayment </w:t>
      </w:r>
      <w:r w:rsidRPr="0088017A">
        <w:t>t</w:t>
      </w:r>
      <w:r w:rsidR="00790FA0" w:rsidRPr="0088017A">
        <w:t xml:space="preserve">erms to </w:t>
      </w:r>
      <w:r w:rsidRPr="0088017A">
        <w:t xml:space="preserve">the </w:t>
      </w:r>
      <w:r w:rsidR="00790FA0" w:rsidRPr="0088017A">
        <w:t xml:space="preserve">Standardization Vendor, in respect of </w:t>
      </w:r>
      <w:r w:rsidRPr="0088017A">
        <w:t xml:space="preserve">Standardized Control System and Motor Control Equipment identified in </w:t>
      </w:r>
      <w:r w:rsidRPr="0088017A">
        <w:fldChar w:fldCharType="begin"/>
      </w:r>
      <w:r w:rsidRPr="0088017A">
        <w:instrText xml:space="preserve"> REF _Ref436401054 \r \h </w:instrText>
      </w:r>
      <w:r w:rsidR="00791159" w:rsidRPr="0088017A">
        <w:instrText xml:space="preserve"> \* MERGEFORMAT </w:instrText>
      </w:r>
      <w:r w:rsidRPr="0088017A">
        <w:fldChar w:fldCharType="separate"/>
      </w:r>
      <w:r w:rsidR="00A7422E" w:rsidRPr="0088017A">
        <w:t>E3</w:t>
      </w:r>
      <w:r w:rsidRPr="0088017A">
        <w:fldChar w:fldCharType="end"/>
      </w:r>
      <w:r w:rsidRPr="0088017A">
        <w:t xml:space="preserve">, </w:t>
      </w:r>
      <w:r w:rsidR="00C73AAA" w:rsidRPr="0088017A">
        <w:t>include the following</w:t>
      </w:r>
      <w:r w:rsidRPr="0088017A">
        <w:t>:</w:t>
      </w:r>
    </w:p>
    <w:p w:rsidR="004D13F3" w:rsidRPr="0088017A" w:rsidRDefault="003B569C" w:rsidP="004D13F3">
      <w:pPr>
        <w:pStyle w:val="SubClause"/>
      </w:pPr>
      <w:r w:rsidRPr="0088017A">
        <w:t xml:space="preserve">Except as indicated in </w:t>
      </w:r>
      <w:r w:rsidRPr="0088017A">
        <w:fldChar w:fldCharType="begin"/>
      </w:r>
      <w:r w:rsidRPr="0088017A">
        <w:instrText xml:space="preserve"> REF _Ref443922213 \r \h </w:instrText>
      </w:r>
      <w:r w:rsidR="00791159" w:rsidRPr="0088017A">
        <w:instrText xml:space="preserve"> \* MERGEFORMAT </w:instrText>
      </w:r>
      <w:r w:rsidRPr="0088017A">
        <w:fldChar w:fldCharType="separate"/>
      </w:r>
      <w:r w:rsidR="00A7422E" w:rsidRPr="0088017A">
        <w:t>D4.2.2</w:t>
      </w:r>
      <w:r w:rsidRPr="0088017A">
        <w:fldChar w:fldCharType="end"/>
      </w:r>
      <w:r w:rsidRPr="0088017A">
        <w:t>, p</w:t>
      </w:r>
      <w:r w:rsidR="00352FD1" w:rsidRPr="0088017A">
        <w:t xml:space="preserve">ayment shall be in Canadian funds net </w:t>
      </w:r>
      <w:r w:rsidR="004D13F3" w:rsidRPr="0088017A">
        <w:t>thirty (30) Calendar Days after shipment.</w:t>
      </w:r>
    </w:p>
    <w:p w:rsidR="003B569C" w:rsidRPr="0088017A" w:rsidRDefault="00352FD1" w:rsidP="003B569C">
      <w:pPr>
        <w:pStyle w:val="SubClause"/>
      </w:pPr>
      <w:bookmarkStart w:id="59" w:name="_Ref443922213"/>
      <w:bookmarkStart w:id="60" w:name="_Ref443921916"/>
      <w:r w:rsidRPr="0088017A">
        <w:t xml:space="preserve">Payment for motor control centres shall </w:t>
      </w:r>
      <w:r w:rsidR="003B569C" w:rsidRPr="0088017A">
        <w:t>be in Canadian funds net thirty (30) Calendar Days and initiated based upon the following schedule:</w:t>
      </w:r>
    </w:p>
    <w:bookmarkEnd w:id="59"/>
    <w:p w:rsidR="00352FD1" w:rsidRPr="0088017A" w:rsidRDefault="00352FD1" w:rsidP="00352FD1">
      <w:pPr>
        <w:pStyle w:val="SubClauseList"/>
      </w:pPr>
      <w:r w:rsidRPr="0088017A">
        <w:t xml:space="preserve">Upon approval of the shop drawings or </w:t>
      </w:r>
      <w:r w:rsidR="00E578F2" w:rsidRPr="0088017A">
        <w:t>forty (</w:t>
      </w:r>
      <w:r w:rsidRPr="0088017A">
        <w:t>40</w:t>
      </w:r>
      <w:r w:rsidR="00E578F2" w:rsidRPr="0088017A">
        <w:t>)</w:t>
      </w:r>
      <w:r w:rsidRPr="0088017A">
        <w:t xml:space="preserve"> Calendar days</w:t>
      </w:r>
      <w:bookmarkEnd w:id="60"/>
      <w:r w:rsidRPr="0088017A">
        <w:t xml:space="preserve"> after the last comprehensive submittal, in the event that </w:t>
      </w:r>
      <w:r w:rsidR="003B569C" w:rsidRPr="0088017A">
        <w:t xml:space="preserve">a response is not made to the </w:t>
      </w:r>
      <w:r w:rsidRPr="0088017A">
        <w:t>submittal</w:t>
      </w:r>
      <w:r w:rsidR="003B569C" w:rsidRPr="0088017A">
        <w:t xml:space="preserve">: </w:t>
      </w:r>
      <w:r w:rsidRPr="0088017A">
        <w:t>25%</w:t>
      </w:r>
      <w:r w:rsidR="003B569C" w:rsidRPr="0088017A">
        <w:t xml:space="preserve"> of the total value</w:t>
      </w:r>
      <w:r w:rsidRPr="0088017A">
        <w:t>.</w:t>
      </w:r>
    </w:p>
    <w:p w:rsidR="003B569C" w:rsidRPr="0088017A" w:rsidRDefault="00352FD1" w:rsidP="003B569C">
      <w:pPr>
        <w:pStyle w:val="SubClauseList"/>
      </w:pPr>
      <w:r w:rsidRPr="0088017A">
        <w:t>Upon delivery of the complete MCC along with all associated as-manufactured documentation</w:t>
      </w:r>
      <w:r w:rsidR="003B569C" w:rsidRPr="0088017A">
        <w:t>: 60% of the total value</w:t>
      </w:r>
      <w:r w:rsidRPr="0088017A">
        <w:t>;</w:t>
      </w:r>
      <w:r w:rsidR="003B569C" w:rsidRPr="0088017A">
        <w:t xml:space="preserve"> or</w:t>
      </w:r>
    </w:p>
    <w:p w:rsidR="00352FD1" w:rsidRPr="0088017A" w:rsidRDefault="003B569C" w:rsidP="003B569C">
      <w:pPr>
        <w:pStyle w:val="SubClauseList"/>
      </w:pPr>
      <w:r w:rsidRPr="0088017A">
        <w:t>I</w:t>
      </w:r>
      <w:r w:rsidR="00352FD1" w:rsidRPr="0088017A">
        <w:t xml:space="preserve">n the event that the delivery is intentionally delayed, upon request by </w:t>
      </w:r>
      <w:r w:rsidRPr="0088017A">
        <w:t>the Contractor</w:t>
      </w:r>
      <w:r w:rsidR="00352FD1" w:rsidRPr="0088017A">
        <w:t>, the following payment schedule would replace the 60% payment:</w:t>
      </w:r>
    </w:p>
    <w:p w:rsidR="00352FD1" w:rsidRPr="0088017A" w:rsidRDefault="00352FD1" w:rsidP="003B569C">
      <w:pPr>
        <w:pStyle w:val="SubClauseSubList"/>
      </w:pPr>
      <w:r w:rsidRPr="0088017A">
        <w:t xml:space="preserve">Upon completion of the FAT and delivery of all as-manufactured documentation to the </w:t>
      </w:r>
      <w:r w:rsidR="003B569C" w:rsidRPr="0088017A">
        <w:t xml:space="preserve">Contractor </w:t>
      </w:r>
      <w:r w:rsidRPr="0088017A">
        <w:t>– 30% of the total value.</w:t>
      </w:r>
    </w:p>
    <w:p w:rsidR="00352FD1" w:rsidRPr="0088017A" w:rsidRDefault="00352FD1" w:rsidP="003B569C">
      <w:pPr>
        <w:pStyle w:val="SubClauseSubList"/>
      </w:pPr>
      <w:r w:rsidRPr="0088017A">
        <w:t xml:space="preserve">Forty (40) Calendar days after delivery of the as-manufactured documentation to the </w:t>
      </w:r>
      <w:r w:rsidR="003B569C" w:rsidRPr="0088017A">
        <w:t>Contractor</w:t>
      </w:r>
      <w:r w:rsidRPr="0088017A">
        <w:t>, or upon delivery, whichever comes sooner – 30% of the total value</w:t>
      </w:r>
      <w:r w:rsidR="003B569C" w:rsidRPr="0088017A">
        <w:t>.</w:t>
      </w:r>
    </w:p>
    <w:p w:rsidR="00352FD1" w:rsidRPr="0088017A" w:rsidRDefault="00352FD1" w:rsidP="003B569C">
      <w:pPr>
        <w:pStyle w:val="SubClauseList"/>
      </w:pPr>
      <w:r w:rsidRPr="0088017A">
        <w:t xml:space="preserve">Upon successful commissioning and delivery of documentation or </w:t>
      </w:r>
      <w:r w:rsidR="00E578F2" w:rsidRPr="0088017A">
        <w:t>six (</w:t>
      </w:r>
      <w:r w:rsidRPr="0088017A">
        <w:t>6</w:t>
      </w:r>
      <w:r w:rsidR="00E578F2" w:rsidRPr="0088017A">
        <w:t>)</w:t>
      </w:r>
      <w:r w:rsidRPr="0088017A">
        <w:t xml:space="preserve"> months after delivery, whichever comes first: 15%</w:t>
      </w:r>
      <w:r w:rsidR="003B569C" w:rsidRPr="0088017A">
        <w:t xml:space="preserve"> of the total value.</w:t>
      </w:r>
    </w:p>
    <w:p w:rsidR="004D13F3" w:rsidRPr="0088017A" w:rsidRDefault="004D13F3" w:rsidP="004D13F3">
      <w:pPr>
        <w:pStyle w:val="Clause"/>
      </w:pPr>
      <w:r w:rsidRPr="0088017A">
        <w:t xml:space="preserve">The Contractor’s payment terms to the Standardization Vendor, in respect of Standardized Electric Valve Actuators identified in </w:t>
      </w:r>
      <w:r w:rsidRPr="0088017A">
        <w:rPr>
          <w:rFonts w:cs="Arial"/>
          <w:szCs w:val="20"/>
        </w:rPr>
        <w:fldChar w:fldCharType="begin"/>
      </w:r>
      <w:r w:rsidRPr="0088017A">
        <w:rPr>
          <w:rFonts w:cs="Arial"/>
          <w:szCs w:val="20"/>
        </w:rPr>
        <w:instrText xml:space="preserve"> REF _Ref436401059 \r \h  \* MERGEFORMAT </w:instrText>
      </w:r>
      <w:r w:rsidRPr="0088017A">
        <w:rPr>
          <w:rFonts w:cs="Arial"/>
          <w:szCs w:val="20"/>
        </w:rPr>
      </w:r>
      <w:r w:rsidRPr="0088017A">
        <w:rPr>
          <w:rFonts w:cs="Arial"/>
          <w:szCs w:val="20"/>
        </w:rPr>
        <w:fldChar w:fldCharType="separate"/>
      </w:r>
      <w:r w:rsidR="00A7422E" w:rsidRPr="0088017A">
        <w:rPr>
          <w:rFonts w:cs="Arial"/>
          <w:szCs w:val="20"/>
        </w:rPr>
        <w:t>E4</w:t>
      </w:r>
      <w:r w:rsidRPr="0088017A">
        <w:rPr>
          <w:rFonts w:cs="Arial"/>
          <w:szCs w:val="20"/>
        </w:rPr>
        <w:fldChar w:fldCharType="end"/>
      </w:r>
      <w:r w:rsidRPr="0088017A">
        <w:t xml:space="preserve">, </w:t>
      </w:r>
      <w:r w:rsidR="00C73AAA" w:rsidRPr="0088017A">
        <w:t>include the following</w:t>
      </w:r>
      <w:r w:rsidRPr="0088017A">
        <w:t>:</w:t>
      </w:r>
    </w:p>
    <w:p w:rsidR="00790FA0" w:rsidRPr="0088017A" w:rsidRDefault="004D13F3" w:rsidP="00AB4E0C">
      <w:pPr>
        <w:pStyle w:val="SubClause"/>
      </w:pPr>
      <w:r w:rsidRPr="0088017A">
        <w:t>P</w:t>
      </w:r>
      <w:r w:rsidR="00AB4E0C" w:rsidRPr="0088017A">
        <w:t>ayment shall be in Canadian funds net thirty (30) Calendar Days after receipt</w:t>
      </w:r>
      <w:r w:rsidRPr="0088017A">
        <w:t xml:space="preserve"> </w:t>
      </w:r>
      <w:r w:rsidR="00AB4E0C" w:rsidRPr="0088017A">
        <w:t xml:space="preserve">and approval of the </w:t>
      </w:r>
      <w:r w:rsidRPr="0088017A">
        <w:t xml:space="preserve">Standardization Vendor’s </w:t>
      </w:r>
      <w:r w:rsidR="00AB4E0C" w:rsidRPr="0088017A">
        <w:t>invoice.</w:t>
      </w:r>
    </w:p>
    <w:p w:rsidR="004D13F3" w:rsidRPr="0088017A" w:rsidRDefault="004D13F3" w:rsidP="004D13F3">
      <w:pPr>
        <w:pStyle w:val="Clause"/>
      </w:pPr>
      <w:r w:rsidRPr="0088017A">
        <w:t xml:space="preserve">The Contractor’s payment terms to the Standardization Vendor, in respect of Standardized Gas Detection Systems identified in </w:t>
      </w:r>
      <w:r w:rsidRPr="0088017A">
        <w:rPr>
          <w:rFonts w:cs="Arial"/>
          <w:szCs w:val="20"/>
        </w:rPr>
        <w:fldChar w:fldCharType="begin"/>
      </w:r>
      <w:r w:rsidRPr="0088017A">
        <w:rPr>
          <w:rFonts w:cs="Arial"/>
          <w:szCs w:val="20"/>
        </w:rPr>
        <w:instrText xml:space="preserve"> REF _Ref436401062 \r \h  \* MERGEFORMAT </w:instrText>
      </w:r>
      <w:r w:rsidRPr="0088017A">
        <w:rPr>
          <w:rFonts w:cs="Arial"/>
          <w:szCs w:val="20"/>
        </w:rPr>
      </w:r>
      <w:r w:rsidRPr="0088017A">
        <w:rPr>
          <w:rFonts w:cs="Arial"/>
          <w:szCs w:val="20"/>
        </w:rPr>
        <w:fldChar w:fldCharType="separate"/>
      </w:r>
      <w:r w:rsidR="00A7422E" w:rsidRPr="0088017A">
        <w:rPr>
          <w:rFonts w:cs="Arial"/>
          <w:szCs w:val="20"/>
        </w:rPr>
        <w:t>E5</w:t>
      </w:r>
      <w:r w:rsidRPr="0088017A">
        <w:rPr>
          <w:rFonts w:cs="Arial"/>
          <w:szCs w:val="20"/>
        </w:rPr>
        <w:fldChar w:fldCharType="end"/>
      </w:r>
      <w:r w:rsidRPr="0088017A">
        <w:t xml:space="preserve">, </w:t>
      </w:r>
      <w:r w:rsidR="00C73AAA" w:rsidRPr="0088017A">
        <w:t>include the following</w:t>
      </w:r>
      <w:r w:rsidRPr="0088017A">
        <w:t>:</w:t>
      </w:r>
    </w:p>
    <w:p w:rsidR="004D13F3" w:rsidRPr="0088017A" w:rsidRDefault="004D13F3" w:rsidP="004D13F3">
      <w:pPr>
        <w:pStyle w:val="SubClause"/>
      </w:pPr>
      <w:r w:rsidRPr="0088017A">
        <w:t>Payment shall be in Canadian funds net thirty (30) Calendar Days after receipt and approval of the Standardization Vendor’s invoice.</w:t>
      </w:r>
    </w:p>
    <w:p w:rsidR="004D13F3" w:rsidRPr="0088017A" w:rsidRDefault="004D13F3" w:rsidP="004D13F3">
      <w:pPr>
        <w:pStyle w:val="Clause"/>
      </w:pPr>
      <w:r w:rsidRPr="0088017A">
        <w:t xml:space="preserve">The Contractor’s payment terms to the Standardization Vendor, in respect of Standardized Instrumentation identified in </w:t>
      </w:r>
      <w:r w:rsidRPr="0088017A">
        <w:rPr>
          <w:rFonts w:cs="Arial"/>
          <w:szCs w:val="20"/>
        </w:rPr>
        <w:fldChar w:fldCharType="begin"/>
      </w:r>
      <w:r w:rsidRPr="0088017A">
        <w:rPr>
          <w:rFonts w:cs="Arial"/>
          <w:szCs w:val="20"/>
        </w:rPr>
        <w:instrText xml:space="preserve"> REF _Ref436401065 \r \h  \* MERGEFORMAT </w:instrText>
      </w:r>
      <w:r w:rsidRPr="0088017A">
        <w:rPr>
          <w:rFonts w:cs="Arial"/>
          <w:szCs w:val="20"/>
        </w:rPr>
      </w:r>
      <w:r w:rsidRPr="0088017A">
        <w:rPr>
          <w:rFonts w:cs="Arial"/>
          <w:szCs w:val="20"/>
        </w:rPr>
        <w:fldChar w:fldCharType="separate"/>
      </w:r>
      <w:r w:rsidR="00A7422E" w:rsidRPr="0088017A">
        <w:rPr>
          <w:rFonts w:cs="Arial"/>
          <w:szCs w:val="20"/>
        </w:rPr>
        <w:t>E6</w:t>
      </w:r>
      <w:r w:rsidRPr="0088017A">
        <w:rPr>
          <w:rFonts w:cs="Arial"/>
          <w:szCs w:val="20"/>
        </w:rPr>
        <w:fldChar w:fldCharType="end"/>
      </w:r>
      <w:r w:rsidRPr="0088017A">
        <w:t xml:space="preserve">, </w:t>
      </w:r>
      <w:r w:rsidR="00C73AAA" w:rsidRPr="0088017A">
        <w:t>include the following</w:t>
      </w:r>
      <w:r w:rsidRPr="0088017A">
        <w:t>:</w:t>
      </w:r>
    </w:p>
    <w:p w:rsidR="004D13F3" w:rsidRPr="0088017A" w:rsidRDefault="004D13F3" w:rsidP="004D13F3">
      <w:pPr>
        <w:pStyle w:val="SubClause"/>
      </w:pPr>
      <w:r w:rsidRPr="0088017A">
        <w:t>Payment shall be in Canadian funds net thirty (30) Calendar Days after receipt and approval of the Standardization Vendor’s invoice.</w:t>
      </w:r>
    </w:p>
    <w:p w:rsidR="00C62626" w:rsidRPr="0088017A" w:rsidRDefault="00C62626" w:rsidP="00311FC1">
      <w:pPr>
        <w:pStyle w:val="SUBHEADING"/>
      </w:pPr>
      <w:bookmarkStart w:id="61" w:name="_Toc482432381"/>
      <w:bookmarkStart w:id="62" w:name="_Toc3968714"/>
      <w:bookmarkStart w:id="63" w:name="_Toc443923980"/>
      <w:bookmarkEnd w:id="48"/>
      <w:bookmarkEnd w:id="49"/>
      <w:r w:rsidRPr="0088017A">
        <w:t>Measurement and Payment</w:t>
      </w:r>
      <w:bookmarkEnd w:id="61"/>
      <w:bookmarkEnd w:id="62"/>
      <w:bookmarkEnd w:id="63"/>
    </w:p>
    <w:p w:rsidR="00C62626" w:rsidRPr="0088017A" w:rsidRDefault="00C62626" w:rsidP="00311FC1">
      <w:pPr>
        <w:pStyle w:val="CLAUSEHEADING"/>
      </w:pPr>
      <w:bookmarkStart w:id="64" w:name="_Ref482428244"/>
      <w:bookmarkStart w:id="65" w:name="_Ref482428265"/>
      <w:bookmarkStart w:id="66" w:name="_Ref482428389"/>
      <w:bookmarkStart w:id="67" w:name="_Ref482428416"/>
      <w:bookmarkStart w:id="68" w:name="_Ref482430191"/>
      <w:bookmarkStart w:id="69" w:name="_Toc482432382"/>
      <w:bookmarkStart w:id="70" w:name="_Toc3968715"/>
      <w:bookmarkStart w:id="71" w:name="_Toc443923981"/>
      <w:r w:rsidRPr="0088017A">
        <w:t>Payment Schedule</w:t>
      </w:r>
      <w:bookmarkEnd w:id="64"/>
      <w:bookmarkEnd w:id="65"/>
      <w:bookmarkEnd w:id="66"/>
      <w:bookmarkEnd w:id="67"/>
      <w:bookmarkEnd w:id="68"/>
      <w:bookmarkEnd w:id="69"/>
      <w:bookmarkEnd w:id="70"/>
      <w:bookmarkEnd w:id="71"/>
    </w:p>
    <w:p w:rsidR="00790FA0" w:rsidRPr="0088017A" w:rsidRDefault="00790FA0" w:rsidP="00790FA0">
      <w:pPr>
        <w:pStyle w:val="Clause"/>
      </w:pPr>
      <w:r w:rsidRPr="0088017A">
        <w:t>The City’s payment to the Contractor, associated with Standardized Goods, will be in accordance with C12.</w:t>
      </w:r>
    </w:p>
    <w:p w:rsidR="00C62626" w:rsidRPr="0088017A" w:rsidRDefault="00C62626"/>
    <w:p w:rsidR="00252842" w:rsidRPr="0088017A" w:rsidRDefault="00252842">
      <w:pPr>
        <w:sectPr w:rsidR="00252842" w:rsidRPr="0088017A" w:rsidSect="000C698E">
          <w:headerReference w:type="default" r:id="rId18"/>
          <w:endnotePr>
            <w:numFmt w:val="upperLetter"/>
          </w:endnotePr>
          <w:pgSz w:w="12240" w:h="15840" w:code="1"/>
          <w:pgMar w:top="1440" w:right="1440" w:bottom="432" w:left="1440" w:header="432" w:footer="432" w:gutter="0"/>
          <w:pgNumType w:start="1"/>
          <w:cols w:space="708"/>
          <w:docGrid w:linePitch="360"/>
        </w:sectPr>
      </w:pPr>
    </w:p>
    <w:p w:rsidR="00C62626" w:rsidRPr="0088017A" w:rsidRDefault="00C62626">
      <w:pPr>
        <w:pStyle w:val="PARTHEADING"/>
      </w:pPr>
      <w:bookmarkStart w:id="72" w:name="_Toc482432392"/>
      <w:bookmarkStart w:id="73" w:name="_Toc3968725"/>
      <w:bookmarkStart w:id="74" w:name="_Toc443923982"/>
      <w:r w:rsidRPr="0088017A">
        <w:t>Specifications</w:t>
      </w:r>
      <w:bookmarkEnd w:id="72"/>
      <w:bookmarkEnd w:id="73"/>
      <w:bookmarkEnd w:id="74"/>
    </w:p>
    <w:p w:rsidR="00531A00" w:rsidRPr="0088017A" w:rsidRDefault="00531A00" w:rsidP="00311FC1">
      <w:pPr>
        <w:pStyle w:val="SUBHEADING"/>
      </w:pPr>
      <w:bookmarkStart w:id="75" w:name="_Toc443923983"/>
      <w:bookmarkStart w:id="76" w:name="_Ref482430146"/>
      <w:bookmarkStart w:id="77" w:name="_Toc482432379"/>
      <w:bookmarkStart w:id="78" w:name="_Toc3968712"/>
      <w:bookmarkStart w:id="79" w:name="_Ref483100639"/>
      <w:r w:rsidRPr="0088017A">
        <w:t xml:space="preserve">City Supplied </w:t>
      </w:r>
      <w:r w:rsidR="00F825F9" w:rsidRPr="0088017A">
        <w:t>Standardized Goods</w:t>
      </w:r>
      <w:bookmarkEnd w:id="75"/>
    </w:p>
    <w:p w:rsidR="00531A00" w:rsidRPr="0088017A" w:rsidRDefault="00531A00" w:rsidP="00311FC1">
      <w:pPr>
        <w:pStyle w:val="CLAUSEHEADING"/>
      </w:pPr>
      <w:bookmarkStart w:id="80" w:name="_Ref436821087"/>
      <w:bookmarkStart w:id="81" w:name="_Toc443923984"/>
      <w:r w:rsidRPr="0088017A">
        <w:t>Uninterruptible Power Supplies – Three-Phase</w:t>
      </w:r>
      <w:bookmarkEnd w:id="80"/>
      <w:bookmarkEnd w:id="81"/>
    </w:p>
    <w:p w:rsidR="00531A00" w:rsidRPr="0088017A" w:rsidRDefault="00531A00" w:rsidP="00311FC1">
      <w:pPr>
        <w:pStyle w:val="Clause"/>
      </w:pPr>
      <w:r w:rsidRPr="0088017A">
        <w:t xml:space="preserve">The City has </w:t>
      </w:r>
      <w:r w:rsidR="00767DF4" w:rsidRPr="0088017A">
        <w:t xml:space="preserve">procured </w:t>
      </w:r>
      <w:r w:rsidRPr="0088017A">
        <w:t>the supply and delivery of three-phase Uninterruptible Power Supplies (UPS) with ratings of 10 KVA through 30 KVA.  The procurement of UPS units was selected via RFP 341-2013 and was awarded to Eecol Electric.</w:t>
      </w:r>
    </w:p>
    <w:p w:rsidR="00E11BBD" w:rsidRPr="0088017A" w:rsidRDefault="00E11BBD" w:rsidP="00311FC1">
      <w:pPr>
        <w:pStyle w:val="ClauseList"/>
      </w:pPr>
      <w:r w:rsidRPr="0088017A">
        <w:t xml:space="preserve">Copies of the </w:t>
      </w:r>
      <w:r w:rsidR="00790FA0" w:rsidRPr="0088017A">
        <w:t xml:space="preserve">original </w:t>
      </w:r>
      <w:r w:rsidRPr="0088017A">
        <w:t>tender documents are available from City of Winnipeg Material Management’s website.</w:t>
      </w:r>
    </w:p>
    <w:p w:rsidR="002A1415" w:rsidRPr="0088017A" w:rsidRDefault="002A1415" w:rsidP="00311FC1">
      <w:pPr>
        <w:pStyle w:val="Clause"/>
      </w:pPr>
      <w:r w:rsidRPr="0088017A">
        <w:t>Specific UPS equipment to be provided by the City includes:</w:t>
      </w:r>
    </w:p>
    <w:p w:rsidR="002A1415" w:rsidRPr="0088017A" w:rsidRDefault="002A1415" w:rsidP="002A1415">
      <w:pPr>
        <w:pStyle w:val="Instructions"/>
      </w:pPr>
      <w:r w:rsidRPr="0088017A">
        <w:t>Instructions to designer: List all equipment to be supplied under by this contract and supplied by the City</w:t>
      </w:r>
      <w:r w:rsidR="00A3353E" w:rsidRPr="0088017A">
        <w:t>.  Provide detailed specs to the City to allow for purchase.  Examples below:</w:t>
      </w:r>
    </w:p>
    <w:p w:rsidR="002A1415" w:rsidRPr="0088017A" w:rsidRDefault="002A1415" w:rsidP="00311FC1">
      <w:pPr>
        <w:pStyle w:val="ClauseList"/>
      </w:pPr>
      <w:r w:rsidRPr="0088017A">
        <w:t>UPS-G700, 15 KVA</w:t>
      </w:r>
    </w:p>
    <w:p w:rsidR="002A1415" w:rsidRPr="0088017A" w:rsidRDefault="002A1415" w:rsidP="00311FC1">
      <w:pPr>
        <w:pStyle w:val="ClauseList"/>
      </w:pPr>
      <w:r w:rsidRPr="0088017A">
        <w:t>External Maintenance Bypass Switch, 15 kVA</w:t>
      </w:r>
    </w:p>
    <w:p w:rsidR="00E11BBD" w:rsidRPr="0088017A" w:rsidRDefault="00A3353E" w:rsidP="00311FC1">
      <w:pPr>
        <w:pStyle w:val="Clause"/>
      </w:pPr>
      <w:r w:rsidRPr="0088017A">
        <w:t>Shop Drawings</w:t>
      </w:r>
    </w:p>
    <w:p w:rsidR="00A3353E" w:rsidRPr="0088017A" w:rsidRDefault="00A3353E" w:rsidP="00A3353E">
      <w:pPr>
        <w:pStyle w:val="Instructions"/>
      </w:pPr>
      <w:r w:rsidRPr="0088017A">
        <w:t>Instructions to designer: Confirm that the MGE Galaxy 3500 equipment is still current and appropriate.</w:t>
      </w:r>
    </w:p>
    <w:p w:rsidR="00E11BBD" w:rsidRPr="0088017A" w:rsidRDefault="00E11BBD" w:rsidP="00311FC1">
      <w:pPr>
        <w:pStyle w:val="SubClause"/>
      </w:pPr>
      <w:r w:rsidRPr="0088017A">
        <w:t xml:space="preserve">Shop </w:t>
      </w:r>
      <w:r w:rsidR="002A1415" w:rsidRPr="0088017A">
        <w:t>d</w:t>
      </w:r>
      <w:r w:rsidRPr="0088017A">
        <w:t>rawings</w:t>
      </w:r>
      <w:r w:rsidR="002A1415" w:rsidRPr="0088017A">
        <w:t xml:space="preserve"> will not be available during the </w:t>
      </w:r>
      <w:r w:rsidR="00866EE5" w:rsidRPr="0088017A">
        <w:t>b</w:t>
      </w:r>
      <w:r w:rsidR="002A1415" w:rsidRPr="0088017A">
        <w:t xml:space="preserve">id </w:t>
      </w:r>
      <w:r w:rsidR="00866EE5" w:rsidRPr="0088017A">
        <w:t>p</w:t>
      </w:r>
      <w:r w:rsidR="002A1415" w:rsidRPr="0088017A">
        <w:t xml:space="preserve">eriod.  For </w:t>
      </w:r>
      <w:r w:rsidR="00A3353E" w:rsidRPr="0088017A">
        <w:t xml:space="preserve">typical </w:t>
      </w:r>
      <w:r w:rsidR="002A1415" w:rsidRPr="0088017A">
        <w:t>installation requirements</w:t>
      </w:r>
      <w:r w:rsidR="00A3353E" w:rsidRPr="0088017A">
        <w:t xml:space="preserve"> refer to the MGE Galaxy 3500 documentation on Schneider Electric’s website.</w:t>
      </w:r>
    </w:p>
    <w:p w:rsidR="00A3353E" w:rsidRPr="0088017A" w:rsidRDefault="00A3353E" w:rsidP="00311FC1">
      <w:pPr>
        <w:pStyle w:val="Clause"/>
      </w:pPr>
      <w:r w:rsidRPr="0088017A">
        <w:t>Coordination with City</w:t>
      </w:r>
    </w:p>
    <w:p w:rsidR="00531A00" w:rsidRPr="0088017A" w:rsidRDefault="00767DF4" w:rsidP="00311FC1">
      <w:pPr>
        <w:pStyle w:val="SubClause"/>
      </w:pPr>
      <w:r w:rsidRPr="0088017A">
        <w:t xml:space="preserve">Coordinate with the City to </w:t>
      </w:r>
      <w:r w:rsidR="00A3353E" w:rsidRPr="0088017A">
        <w:t>determine the required delivery schedule and advise City when equipment is required on site.</w:t>
      </w:r>
    </w:p>
    <w:p w:rsidR="00A3353E" w:rsidRPr="0088017A" w:rsidRDefault="00A3353E" w:rsidP="00311FC1">
      <w:pPr>
        <w:pStyle w:val="SubClause"/>
      </w:pPr>
      <w:r w:rsidRPr="0088017A">
        <w:t>The vendor has indicated that typical deliveries are 6 to 8 weeks from the date of order.  Allow an additional 6 weeks for the City to process the order.</w:t>
      </w:r>
    </w:p>
    <w:p w:rsidR="00A3353E" w:rsidRPr="0088017A" w:rsidRDefault="00A3353E" w:rsidP="00311FC1">
      <w:pPr>
        <w:pStyle w:val="SubClause"/>
      </w:pPr>
      <w:r w:rsidRPr="0088017A">
        <w:t xml:space="preserve">Provide a minimum of 15 Working </w:t>
      </w:r>
      <w:r w:rsidR="00AB4E0C" w:rsidRPr="0088017A">
        <w:t>Days’ notice</w:t>
      </w:r>
      <w:r w:rsidRPr="0088017A">
        <w:t xml:space="preserve"> to schedule the service technician to start-up the UPS units.</w:t>
      </w:r>
    </w:p>
    <w:p w:rsidR="00866EE5" w:rsidRPr="0088017A" w:rsidRDefault="00866EE5" w:rsidP="00866EE5">
      <w:pPr>
        <w:pStyle w:val="Clause"/>
      </w:pPr>
      <w:r w:rsidRPr="0088017A">
        <w:t>Storage and Delivery</w:t>
      </w:r>
    </w:p>
    <w:p w:rsidR="00105F62" w:rsidRPr="0088017A" w:rsidRDefault="00105F62" w:rsidP="00105F62">
      <w:pPr>
        <w:pStyle w:val="Instructions"/>
      </w:pPr>
      <w:r w:rsidRPr="0088017A">
        <w:t>Instructions to designer: Confirm that the below storage and delivery section is complete and correct.</w:t>
      </w:r>
    </w:p>
    <w:p w:rsidR="00866EE5" w:rsidRPr="0088017A" w:rsidRDefault="00866EE5" w:rsidP="00866EE5">
      <w:pPr>
        <w:pStyle w:val="SubClause"/>
      </w:pPr>
      <w:r w:rsidRPr="0088017A">
        <w:t xml:space="preserve">The equipment will be delivered to and stored at the following </w:t>
      </w:r>
      <w:r w:rsidR="00105F62" w:rsidRPr="0088017A">
        <w:t xml:space="preserve">City </w:t>
      </w:r>
      <w:r w:rsidRPr="0088017A">
        <w:t>location:</w:t>
      </w:r>
    </w:p>
    <w:p w:rsidR="00105F62" w:rsidRPr="0088017A" w:rsidRDefault="00244DFA" w:rsidP="00105F62">
      <w:pPr>
        <w:ind w:left="1440"/>
      </w:pPr>
      <w:r w:rsidRPr="0088017A">
        <w:t>Attention: Supervisor of Electrical and Instrumentation Maintenance (Wastewater)</w:t>
      </w:r>
    </w:p>
    <w:p w:rsidR="00244DFA" w:rsidRPr="0088017A" w:rsidRDefault="00244DFA" w:rsidP="00105F62">
      <w:pPr>
        <w:ind w:left="1440"/>
      </w:pPr>
      <w:r w:rsidRPr="0088017A">
        <w:t>City of Winnipeg</w:t>
      </w:r>
    </w:p>
    <w:p w:rsidR="00244DFA" w:rsidRPr="0088017A" w:rsidRDefault="00244DFA" w:rsidP="00105F62">
      <w:pPr>
        <w:ind w:left="1440"/>
      </w:pPr>
      <w:r w:rsidRPr="0088017A">
        <w:t>Water and Waste Department</w:t>
      </w:r>
    </w:p>
    <w:p w:rsidR="00244DFA" w:rsidRPr="0088017A" w:rsidRDefault="00244DFA" w:rsidP="00105F62">
      <w:pPr>
        <w:ind w:left="1440"/>
      </w:pPr>
      <w:r w:rsidRPr="0088017A">
        <w:t>Wastewater Services Division</w:t>
      </w:r>
    </w:p>
    <w:p w:rsidR="00105F62" w:rsidRPr="0088017A" w:rsidRDefault="00244DFA" w:rsidP="00105F62">
      <w:pPr>
        <w:ind w:left="1440"/>
      </w:pPr>
      <w:r w:rsidRPr="0088017A">
        <w:t xml:space="preserve">598 </w:t>
      </w:r>
      <w:proofErr w:type="spellStart"/>
      <w:r w:rsidRPr="0088017A">
        <w:t>Plinguet</w:t>
      </w:r>
      <w:proofErr w:type="spellEnd"/>
      <w:r w:rsidRPr="0088017A">
        <w:t xml:space="preserve"> Street</w:t>
      </w:r>
    </w:p>
    <w:p w:rsidR="00105F62" w:rsidRPr="0088017A" w:rsidRDefault="00244DFA" w:rsidP="00105F62">
      <w:pPr>
        <w:ind w:left="1440"/>
      </w:pPr>
      <w:r w:rsidRPr="0088017A">
        <w:t>Winnipeg, MB, R2J 2W7</w:t>
      </w:r>
    </w:p>
    <w:p w:rsidR="00866EE5" w:rsidRPr="0088017A" w:rsidRDefault="004308D8" w:rsidP="00866EE5">
      <w:pPr>
        <w:pStyle w:val="SubClause"/>
      </w:pPr>
      <w:r w:rsidRPr="0088017A">
        <w:t xml:space="preserve">After inspection of the equipment as per </w:t>
      </w:r>
      <w:r w:rsidRPr="0088017A">
        <w:fldChar w:fldCharType="begin"/>
      </w:r>
      <w:r w:rsidRPr="0088017A">
        <w:instrText xml:space="preserve"> REF _Ref436824068 \r \h </w:instrText>
      </w:r>
      <w:r w:rsidR="0088017A">
        <w:instrText xml:space="preserve"> \* MERGEFORMAT </w:instrText>
      </w:r>
      <w:r w:rsidRPr="0088017A">
        <w:fldChar w:fldCharType="separate"/>
      </w:r>
      <w:r w:rsidR="00A7422E" w:rsidRPr="0088017A">
        <w:t>E1.6</w:t>
      </w:r>
      <w:r w:rsidRPr="0088017A">
        <w:fldChar w:fldCharType="end"/>
      </w:r>
      <w:r w:rsidRPr="0088017A">
        <w:t>, p</w:t>
      </w:r>
      <w:r w:rsidR="00866EE5" w:rsidRPr="0088017A">
        <w:t>ick-up and deliver the equipment to the Site for installation.  Pay all costs for transportation of equipment from the designated pick-up location.</w:t>
      </w:r>
    </w:p>
    <w:p w:rsidR="00E11BBD" w:rsidRPr="0088017A" w:rsidRDefault="00105F62" w:rsidP="00105F62">
      <w:pPr>
        <w:pStyle w:val="SubClause"/>
      </w:pPr>
      <w:r w:rsidRPr="0088017A">
        <w:t xml:space="preserve">Coordinate with the </w:t>
      </w:r>
      <w:r w:rsidR="00E11BBD" w:rsidRPr="0088017A">
        <w:t xml:space="preserve">Contract Administrator </w:t>
      </w:r>
      <w:r w:rsidRPr="0088017A">
        <w:t>to schedule pick-up of the equipment</w:t>
      </w:r>
      <w:r w:rsidR="00E11BBD" w:rsidRPr="0088017A">
        <w:t>.</w:t>
      </w:r>
    </w:p>
    <w:p w:rsidR="004308D8" w:rsidRPr="0088017A" w:rsidRDefault="004308D8" w:rsidP="00311FC1">
      <w:pPr>
        <w:pStyle w:val="Clause"/>
      </w:pPr>
      <w:bookmarkStart w:id="82" w:name="_Ref436824068"/>
      <w:r w:rsidRPr="0088017A">
        <w:t>Inspection of Equipment</w:t>
      </w:r>
      <w:bookmarkEnd w:id="82"/>
      <w:r w:rsidR="00431304" w:rsidRPr="0088017A">
        <w:t xml:space="preserve"> and Turnover to the Contractor</w:t>
      </w:r>
    </w:p>
    <w:p w:rsidR="00E11BBD" w:rsidRPr="0088017A" w:rsidRDefault="00431304" w:rsidP="004308D8">
      <w:pPr>
        <w:pStyle w:val="SubClause"/>
      </w:pPr>
      <w:r w:rsidRPr="0088017A">
        <w:t xml:space="preserve">Inspect all </w:t>
      </w:r>
      <w:r w:rsidR="00E11BBD" w:rsidRPr="0088017A">
        <w:t xml:space="preserve">equipment supplied </w:t>
      </w:r>
      <w:r w:rsidRPr="0088017A">
        <w:t>prior to picking up the equipment.  Coordinate the inspection with the Contract Administrator.  The Contract Administrator or designated representative shall be present during the inspection.</w:t>
      </w:r>
    </w:p>
    <w:p w:rsidR="00E11BBD" w:rsidRPr="0088017A" w:rsidRDefault="004308D8" w:rsidP="00431304">
      <w:pPr>
        <w:pStyle w:val="SubClause"/>
      </w:pPr>
      <w:r w:rsidRPr="0088017A">
        <w:t xml:space="preserve">Complete and </w:t>
      </w:r>
      <w:r w:rsidR="00E11BBD" w:rsidRPr="0088017A">
        <w:t>execute</w:t>
      </w:r>
      <w:r w:rsidRPr="0088017A">
        <w:t xml:space="preserve"> a </w:t>
      </w:r>
      <w:r w:rsidR="00E11BBD" w:rsidRPr="0088017A">
        <w:t>Certificate of Equipment Delivery</w:t>
      </w:r>
      <w:r w:rsidR="00244DFA" w:rsidRPr="0088017A">
        <w:t xml:space="preserve"> (Form 100)</w:t>
      </w:r>
      <w:r w:rsidR="00E11BBD" w:rsidRPr="0088017A">
        <w:t xml:space="preserve">. </w:t>
      </w:r>
    </w:p>
    <w:p w:rsidR="00E11BBD" w:rsidRPr="0088017A" w:rsidRDefault="00E11BBD" w:rsidP="00311FC1">
      <w:pPr>
        <w:pStyle w:val="Clause"/>
      </w:pPr>
      <w:r w:rsidRPr="0088017A">
        <w:t xml:space="preserve">The Contractor shall be responsible for the installation of the equipment to be supplied under the </w:t>
      </w:r>
      <w:r w:rsidR="00244DFA" w:rsidRPr="0088017A">
        <w:t xml:space="preserve">standardization </w:t>
      </w:r>
      <w:r w:rsidRPr="0088017A">
        <w:t xml:space="preserve">contracts in addition to this Contract. The installation shall be in accordance with the </w:t>
      </w:r>
      <w:r w:rsidR="00244DFA" w:rsidRPr="0088017A">
        <w:t xml:space="preserve">applicable </w:t>
      </w:r>
      <w:r w:rsidRPr="0088017A">
        <w:t>manufacturers' installation requirements.</w:t>
      </w:r>
    </w:p>
    <w:p w:rsidR="00E11BBD" w:rsidRPr="0088017A" w:rsidRDefault="00E11BBD" w:rsidP="00311FC1">
      <w:pPr>
        <w:pStyle w:val="Clause"/>
      </w:pPr>
      <w:bookmarkStart w:id="83" w:name="_Ref436238845"/>
      <w:r w:rsidRPr="0088017A">
        <w:t>UPS Start-up</w:t>
      </w:r>
      <w:bookmarkEnd w:id="83"/>
    </w:p>
    <w:p w:rsidR="002954F5" w:rsidRPr="0088017A" w:rsidRDefault="002954F5" w:rsidP="00311FC1">
      <w:pPr>
        <w:pStyle w:val="SubClause"/>
      </w:pPr>
      <w:r w:rsidRPr="0088017A">
        <w:t>The UPS vendor will provide UPS start-up services for the UPS.  This does not relieve the Contractor of all installation responsibilities.</w:t>
      </w:r>
    </w:p>
    <w:p w:rsidR="00E11BBD" w:rsidRPr="0088017A" w:rsidRDefault="002954F5" w:rsidP="00311FC1">
      <w:pPr>
        <w:pStyle w:val="SubClause"/>
      </w:pPr>
      <w:r w:rsidRPr="0088017A">
        <w:t xml:space="preserve">Ensure and verify all installation is complete prior to UPS start-up.  </w:t>
      </w:r>
    </w:p>
    <w:p w:rsidR="002954F5" w:rsidRPr="0088017A" w:rsidRDefault="002954F5" w:rsidP="002954F5">
      <w:pPr>
        <w:pStyle w:val="SubClause"/>
      </w:pPr>
      <w:r w:rsidRPr="0088017A">
        <w:t xml:space="preserve">The Contractor shall be responsible for supervising and coordinating the services to be provided by the UPS Vendor. </w:t>
      </w:r>
    </w:p>
    <w:p w:rsidR="002A1415" w:rsidRPr="0088017A" w:rsidRDefault="002954F5" w:rsidP="002954F5">
      <w:pPr>
        <w:pStyle w:val="SubClause"/>
      </w:pPr>
      <w:r w:rsidRPr="0088017A">
        <w:t xml:space="preserve">The </w:t>
      </w:r>
      <w:r w:rsidR="002A1415" w:rsidRPr="0088017A">
        <w:t xml:space="preserve">costs for the start-up of the UPS </w:t>
      </w:r>
      <w:r w:rsidRPr="0088017A">
        <w:t xml:space="preserve">by the UPS vendor </w:t>
      </w:r>
      <w:r w:rsidR="002A1415" w:rsidRPr="0088017A">
        <w:t>will be paid for by the City.</w:t>
      </w:r>
      <w:r w:rsidRPr="0088017A">
        <w:t xml:space="preserve">  The Contractor will be responsible for all additional costs incurred by the City due to the Contractor not completing the installation completely or appropriately prior to UPS start-up.</w:t>
      </w:r>
    </w:p>
    <w:p w:rsidR="00A7422E" w:rsidRPr="0088017A" w:rsidRDefault="00A7422E" w:rsidP="00A7422E">
      <w:pPr>
        <w:pStyle w:val="SUBHEADING"/>
      </w:pPr>
      <w:bookmarkStart w:id="84" w:name="_Toc443923985"/>
      <w:bookmarkEnd w:id="76"/>
      <w:bookmarkEnd w:id="77"/>
      <w:bookmarkEnd w:id="78"/>
      <w:r w:rsidRPr="0088017A">
        <w:t>Contractor Supplied Standardized Goods</w:t>
      </w:r>
      <w:bookmarkEnd w:id="84"/>
    </w:p>
    <w:p w:rsidR="009D03BA" w:rsidRPr="0088017A" w:rsidRDefault="00531A00" w:rsidP="00311FC1">
      <w:pPr>
        <w:pStyle w:val="CLAUSEHEADING"/>
      </w:pPr>
      <w:bookmarkStart w:id="85" w:name="_Ref436400996"/>
      <w:bookmarkStart w:id="86" w:name="_Toc443923986"/>
      <w:r w:rsidRPr="0088017A">
        <w:t>General Requirements</w:t>
      </w:r>
      <w:bookmarkEnd w:id="85"/>
      <w:bookmarkEnd w:id="86"/>
    </w:p>
    <w:p w:rsidR="00A7422E" w:rsidRPr="0088017A" w:rsidRDefault="00A7422E" w:rsidP="00A7422E">
      <w:pPr>
        <w:pStyle w:val="Clause"/>
      </w:pPr>
      <w:r w:rsidRPr="0088017A">
        <w:t xml:space="preserve">Comply with the general requirements of </w:t>
      </w:r>
      <w:r w:rsidRPr="0088017A">
        <w:fldChar w:fldCharType="begin"/>
      </w:r>
      <w:r w:rsidRPr="0088017A">
        <w:instrText xml:space="preserve"> REF _Ref436400996 \r \h </w:instrText>
      </w:r>
      <w:r w:rsidR="00791159" w:rsidRPr="0088017A">
        <w:instrText xml:space="preserve"> \* MERGEFORMAT </w:instrText>
      </w:r>
      <w:r w:rsidRPr="0088017A">
        <w:fldChar w:fldCharType="separate"/>
      </w:r>
      <w:r w:rsidRPr="0088017A">
        <w:t>E2</w:t>
      </w:r>
      <w:r w:rsidRPr="0088017A">
        <w:fldChar w:fldCharType="end"/>
      </w:r>
      <w:r w:rsidRPr="0088017A">
        <w:t xml:space="preserve"> for all Standardized Goods supplied by the Contractor.</w:t>
      </w:r>
    </w:p>
    <w:p w:rsidR="00A7422E" w:rsidRPr="0088017A" w:rsidRDefault="00A7422E" w:rsidP="00A7422E">
      <w:pPr>
        <w:pStyle w:val="Clause"/>
      </w:pPr>
      <w:r w:rsidRPr="0088017A">
        <w:t xml:space="preserve">Comply with the following Standardization Goods requirements: </w:t>
      </w:r>
    </w:p>
    <w:p w:rsidR="00A7422E" w:rsidRPr="0088017A" w:rsidRDefault="00A7422E" w:rsidP="00A7422E">
      <w:pPr>
        <w:pStyle w:val="SubClause"/>
      </w:pPr>
      <w:r w:rsidRPr="0088017A">
        <w:t xml:space="preserve">Control System and Motor Control Equipment in accordance with </w:t>
      </w:r>
      <w:r w:rsidRPr="0088017A">
        <w:fldChar w:fldCharType="begin"/>
      </w:r>
      <w:r w:rsidRPr="0088017A">
        <w:instrText xml:space="preserve"> REF _Ref436401054 \r \h </w:instrText>
      </w:r>
      <w:r w:rsidR="00791159" w:rsidRPr="0088017A">
        <w:instrText xml:space="preserve"> \* MERGEFORMAT </w:instrText>
      </w:r>
      <w:r w:rsidRPr="0088017A">
        <w:fldChar w:fldCharType="separate"/>
      </w:r>
      <w:r w:rsidRPr="0088017A">
        <w:t>E3</w:t>
      </w:r>
      <w:r w:rsidRPr="0088017A">
        <w:fldChar w:fldCharType="end"/>
      </w:r>
      <w:r w:rsidRPr="0088017A">
        <w:t>.</w:t>
      </w:r>
    </w:p>
    <w:p w:rsidR="00A7422E" w:rsidRPr="0088017A" w:rsidRDefault="00A7422E" w:rsidP="00A7422E">
      <w:pPr>
        <w:pStyle w:val="SubClause"/>
      </w:pPr>
      <w:r w:rsidRPr="0088017A">
        <w:t xml:space="preserve">Electric Valve Actuators in accordance with </w:t>
      </w:r>
      <w:r w:rsidRPr="0088017A">
        <w:fldChar w:fldCharType="begin"/>
      </w:r>
      <w:r w:rsidRPr="0088017A">
        <w:instrText xml:space="preserve"> REF _Ref436401059 \r \h </w:instrText>
      </w:r>
      <w:r w:rsidR="00791159" w:rsidRPr="0088017A">
        <w:instrText xml:space="preserve"> \* MERGEFORMAT </w:instrText>
      </w:r>
      <w:r w:rsidRPr="0088017A">
        <w:fldChar w:fldCharType="separate"/>
      </w:r>
      <w:r w:rsidRPr="0088017A">
        <w:t>E4</w:t>
      </w:r>
      <w:r w:rsidRPr="0088017A">
        <w:fldChar w:fldCharType="end"/>
      </w:r>
      <w:r w:rsidRPr="0088017A">
        <w:t>.</w:t>
      </w:r>
    </w:p>
    <w:p w:rsidR="00A7422E" w:rsidRPr="0088017A" w:rsidRDefault="00A7422E" w:rsidP="00A7422E">
      <w:pPr>
        <w:pStyle w:val="SubClause"/>
      </w:pPr>
      <w:r w:rsidRPr="0088017A">
        <w:t xml:space="preserve">Gas Detection Systems in accordance with </w:t>
      </w:r>
      <w:r w:rsidRPr="0088017A">
        <w:fldChar w:fldCharType="begin"/>
      </w:r>
      <w:r w:rsidRPr="0088017A">
        <w:instrText xml:space="preserve"> REF _Ref436401062 \r \h </w:instrText>
      </w:r>
      <w:r w:rsidR="00791159" w:rsidRPr="0088017A">
        <w:instrText xml:space="preserve"> \* MERGEFORMAT </w:instrText>
      </w:r>
      <w:r w:rsidRPr="0088017A">
        <w:fldChar w:fldCharType="separate"/>
      </w:r>
      <w:r w:rsidRPr="0088017A">
        <w:t>E5</w:t>
      </w:r>
      <w:r w:rsidRPr="0088017A">
        <w:fldChar w:fldCharType="end"/>
      </w:r>
      <w:r w:rsidRPr="0088017A">
        <w:t>.</w:t>
      </w:r>
    </w:p>
    <w:p w:rsidR="00A7422E" w:rsidRPr="0088017A" w:rsidRDefault="00A7422E" w:rsidP="00A7422E">
      <w:pPr>
        <w:pStyle w:val="SubClause"/>
      </w:pPr>
      <w:r w:rsidRPr="0088017A">
        <w:t xml:space="preserve">Instrumentation in accordance with </w:t>
      </w:r>
      <w:r w:rsidRPr="0088017A">
        <w:fldChar w:fldCharType="begin"/>
      </w:r>
      <w:r w:rsidRPr="0088017A">
        <w:instrText xml:space="preserve"> REF _Ref436401065 \r \h </w:instrText>
      </w:r>
      <w:r w:rsidR="00791159" w:rsidRPr="0088017A">
        <w:instrText xml:space="preserve"> \* MERGEFORMAT </w:instrText>
      </w:r>
      <w:r w:rsidRPr="0088017A">
        <w:fldChar w:fldCharType="separate"/>
      </w:r>
      <w:r w:rsidRPr="0088017A">
        <w:t>E6</w:t>
      </w:r>
      <w:r w:rsidRPr="0088017A">
        <w:fldChar w:fldCharType="end"/>
      </w:r>
      <w:r w:rsidRPr="0088017A">
        <w:t>.</w:t>
      </w:r>
    </w:p>
    <w:p w:rsidR="00A7422E" w:rsidRPr="0088017A" w:rsidRDefault="00A7422E" w:rsidP="00A7422E">
      <w:pPr>
        <w:pStyle w:val="Clause"/>
      </w:pPr>
      <w:r w:rsidRPr="0088017A">
        <w:t xml:space="preserve">Contact the Contract Administrator regarding any potential uncertainty as to whether </w:t>
      </w:r>
      <w:r w:rsidR="008F71B2" w:rsidRPr="0088017A">
        <w:t>a</w:t>
      </w:r>
      <w:r w:rsidRPr="0088017A">
        <w:t xml:space="preserve"> good is covered under a standardization agreement.</w:t>
      </w:r>
    </w:p>
    <w:p w:rsidR="002A1068" w:rsidRPr="0088017A" w:rsidRDefault="002A1068" w:rsidP="00311FC1">
      <w:pPr>
        <w:pStyle w:val="Clause"/>
      </w:pPr>
      <w:r w:rsidRPr="0088017A">
        <w:t xml:space="preserve">The Contractor may utilize a Standardization Vendor to provide </w:t>
      </w:r>
      <w:r w:rsidR="009530D1" w:rsidRPr="0088017A">
        <w:t xml:space="preserve">other goods </w:t>
      </w:r>
      <w:r w:rsidRPr="0088017A">
        <w:t>required under</w:t>
      </w:r>
      <w:r w:rsidR="009530D1" w:rsidRPr="0088017A">
        <w:t xml:space="preserve"> the Contract, in addition to Standardized Goods.</w:t>
      </w:r>
    </w:p>
    <w:p w:rsidR="00F14B37" w:rsidRPr="0088017A" w:rsidRDefault="00F14B37" w:rsidP="00311FC1">
      <w:pPr>
        <w:pStyle w:val="Clause"/>
      </w:pPr>
      <w:r w:rsidRPr="0088017A">
        <w:t xml:space="preserve">The Contractor shall separately track all </w:t>
      </w:r>
      <w:r w:rsidR="006C430F" w:rsidRPr="0088017A">
        <w:t>goods</w:t>
      </w:r>
      <w:r w:rsidRPr="0088017A">
        <w:t xml:space="preserve"> supplied under each standardization agreement.  </w:t>
      </w:r>
    </w:p>
    <w:p w:rsidR="00F14B37" w:rsidRPr="0088017A" w:rsidRDefault="00F14B37" w:rsidP="00311FC1">
      <w:pPr>
        <w:pStyle w:val="SubClause"/>
      </w:pPr>
      <w:r w:rsidRPr="0088017A">
        <w:t xml:space="preserve">In the event that one or more Standardization Vendors are utilized to procure goods not covered under a standardization agreement, the Contractor shall ensure such </w:t>
      </w:r>
      <w:r w:rsidR="006C430F" w:rsidRPr="0088017A">
        <w:t xml:space="preserve">goods </w:t>
      </w:r>
      <w:r w:rsidR="007D3B1E" w:rsidRPr="0088017A">
        <w:t xml:space="preserve">are quoted, ordered, </w:t>
      </w:r>
      <w:r w:rsidRPr="0088017A">
        <w:t>tracked and accounted in a separate manner.</w:t>
      </w:r>
    </w:p>
    <w:p w:rsidR="00E15F61" w:rsidRPr="0088017A" w:rsidRDefault="00E15F61" w:rsidP="00311FC1">
      <w:pPr>
        <w:pStyle w:val="Clause"/>
      </w:pPr>
      <w:r w:rsidRPr="0088017A">
        <w:t>Pricing:</w:t>
      </w:r>
    </w:p>
    <w:p w:rsidR="00B60509" w:rsidRPr="0088017A" w:rsidRDefault="00B60509" w:rsidP="00311FC1">
      <w:pPr>
        <w:pStyle w:val="SubClause"/>
      </w:pPr>
      <w:r w:rsidRPr="0088017A">
        <w:t xml:space="preserve">The City has obtained discounted pricing for Standardized </w:t>
      </w:r>
      <w:r w:rsidR="00790FA0" w:rsidRPr="0088017A">
        <w:t>Goods</w:t>
      </w:r>
      <w:r w:rsidRPr="0088017A">
        <w:t xml:space="preserve">.  </w:t>
      </w:r>
      <w:r w:rsidR="006C430F" w:rsidRPr="0088017A">
        <w:t xml:space="preserve">Each </w:t>
      </w:r>
      <w:r w:rsidRPr="0088017A">
        <w:t>Standardization Vendor</w:t>
      </w:r>
      <w:r w:rsidR="006C430F" w:rsidRPr="0088017A">
        <w:t xml:space="preserve"> is</w:t>
      </w:r>
      <w:r w:rsidRPr="0088017A">
        <w:t xml:space="preserve"> obligated to sell Standardized </w:t>
      </w:r>
      <w:r w:rsidR="00790FA0" w:rsidRPr="0088017A">
        <w:t xml:space="preserve">Goods </w:t>
      </w:r>
      <w:r w:rsidRPr="0088017A">
        <w:t xml:space="preserve">to </w:t>
      </w:r>
      <w:r w:rsidR="00DA329B" w:rsidRPr="0088017A">
        <w:t>all prospective</w:t>
      </w:r>
      <w:r w:rsidRPr="0088017A">
        <w:t xml:space="preserve"> Contractor</w:t>
      </w:r>
      <w:r w:rsidR="00DA329B" w:rsidRPr="0088017A">
        <w:t>s</w:t>
      </w:r>
      <w:r w:rsidRPr="0088017A">
        <w:t xml:space="preserve"> at the discounted price, provided the goods are for the City of Winnipeg.</w:t>
      </w:r>
    </w:p>
    <w:p w:rsidR="005C4308" w:rsidRPr="0088017A" w:rsidRDefault="005C4308" w:rsidP="005C4308">
      <w:pPr>
        <w:pStyle w:val="SubClause"/>
      </w:pPr>
      <w:r w:rsidRPr="0088017A">
        <w:t xml:space="preserve">The Standardization Vendors may at their option provide lump sum pricing for </w:t>
      </w:r>
      <w:r w:rsidR="00203C71" w:rsidRPr="0088017A">
        <w:t>goods</w:t>
      </w:r>
      <w:r w:rsidRPr="0088017A">
        <w:t xml:space="preserve"> packages.  The Standardization Vendor is not required to provide breakout pricing details to the Contractor.</w:t>
      </w:r>
    </w:p>
    <w:p w:rsidR="003B5163" w:rsidRPr="0088017A" w:rsidRDefault="00B60509" w:rsidP="00E65C54">
      <w:pPr>
        <w:pStyle w:val="SubClause"/>
        <w:keepNext/>
      </w:pPr>
      <w:r w:rsidRPr="0088017A">
        <w:t xml:space="preserve">The Contractor </w:t>
      </w:r>
      <w:r w:rsidR="003B5163" w:rsidRPr="0088017A">
        <w:t xml:space="preserve">and Subcontractors </w:t>
      </w:r>
      <w:r w:rsidRPr="0088017A">
        <w:t xml:space="preserve">shall </w:t>
      </w:r>
      <w:r w:rsidR="003B5163" w:rsidRPr="0088017A">
        <w:t>not utilize the City’s agreements with the Standardization Vendors for any purpose other than City work.</w:t>
      </w:r>
    </w:p>
    <w:p w:rsidR="00B60509" w:rsidRPr="0088017A" w:rsidRDefault="00B60509" w:rsidP="009530D1">
      <w:pPr>
        <w:pStyle w:val="SubClause"/>
      </w:pPr>
      <w:r w:rsidRPr="0088017A">
        <w:t xml:space="preserve">The City may audit the goods purchased </w:t>
      </w:r>
      <w:r w:rsidR="000A1E27" w:rsidRPr="0088017A">
        <w:t xml:space="preserve">from the Standardization Vendors under the standardization agreements </w:t>
      </w:r>
      <w:r w:rsidRPr="0088017A">
        <w:t xml:space="preserve">and may identify to the Standardization Vendors any goods procured </w:t>
      </w:r>
      <w:r w:rsidR="000A1E27" w:rsidRPr="0088017A">
        <w:t>that are not associated with the Contract.</w:t>
      </w:r>
    </w:p>
    <w:p w:rsidR="005D04EE" w:rsidRPr="0088017A" w:rsidRDefault="007D3B1E" w:rsidP="00311FC1">
      <w:pPr>
        <w:pStyle w:val="Clause"/>
      </w:pPr>
      <w:r w:rsidRPr="0088017A">
        <w:t>The Contractor is responsible for ensuring that the Material supplied by the Standardization Vendors meets the requirement of the Contract.  The Contractor shall review and confirm quotations supplied by the Standardization Vendors to ensure that all required Material is supplied</w:t>
      </w:r>
      <w:r w:rsidR="005D04EE" w:rsidRPr="0088017A">
        <w:t xml:space="preserve">.  </w:t>
      </w:r>
    </w:p>
    <w:p w:rsidR="000D662B" w:rsidRPr="0088017A" w:rsidRDefault="000D662B" w:rsidP="009530D1">
      <w:pPr>
        <w:pStyle w:val="Clause"/>
      </w:pPr>
      <w:r w:rsidRPr="0088017A">
        <w:t xml:space="preserve">Without limiting or otherwise affecting any other term or condition of the Contract, including (non-exhaustive) </w:t>
      </w:r>
      <w:r w:rsidR="00203C71" w:rsidRPr="0088017A">
        <w:fldChar w:fldCharType="begin"/>
      </w:r>
      <w:r w:rsidR="00203C71" w:rsidRPr="0088017A">
        <w:instrText xml:space="preserve"> REF _Ref443923288 \r \h </w:instrText>
      </w:r>
      <w:r w:rsidR="0088017A">
        <w:instrText xml:space="preserve"> \* MERGEFORMAT </w:instrText>
      </w:r>
      <w:r w:rsidR="00203C71" w:rsidRPr="0088017A">
        <w:fldChar w:fldCharType="separate"/>
      </w:r>
      <w:r w:rsidR="00A7422E" w:rsidRPr="0088017A">
        <w:t>D3.2.1</w:t>
      </w:r>
      <w:r w:rsidR="00203C71" w:rsidRPr="0088017A">
        <w:fldChar w:fldCharType="end"/>
      </w:r>
      <w:r w:rsidRPr="0088017A">
        <w:t>:</w:t>
      </w:r>
    </w:p>
    <w:p w:rsidR="005C4308" w:rsidRPr="0088017A" w:rsidRDefault="005C4308" w:rsidP="00311FC1">
      <w:pPr>
        <w:pStyle w:val="SubClause"/>
      </w:pPr>
      <w:r w:rsidRPr="0088017A">
        <w:t>The supply of goods through a Standardization Vendor shall not relieve the Contractor of their obligations.</w:t>
      </w:r>
    </w:p>
    <w:p w:rsidR="007D3B1E" w:rsidRPr="0088017A" w:rsidRDefault="000D662B" w:rsidP="00311FC1">
      <w:pPr>
        <w:pStyle w:val="SubClause"/>
      </w:pPr>
      <w:r w:rsidRPr="0088017A">
        <w:t>E</w:t>
      </w:r>
      <w:r w:rsidR="005D04EE" w:rsidRPr="0088017A">
        <w:t>rrors or omissions by a Standardization Vendor shall not be a cause for a Change in Work.</w:t>
      </w:r>
    </w:p>
    <w:p w:rsidR="005D04EE" w:rsidRPr="0088017A" w:rsidRDefault="005D04EE" w:rsidP="00311FC1">
      <w:pPr>
        <w:pStyle w:val="SubClause"/>
      </w:pPr>
      <w:r w:rsidRPr="0088017A">
        <w:t>Delays by a Standardization Vendor shall not be a cause for a Change in Work where the delay could have been avoided through reasonable planning, contingency allocation, or communication by the Contractor.</w:t>
      </w:r>
    </w:p>
    <w:p w:rsidR="005D04EE" w:rsidRPr="0088017A" w:rsidRDefault="005D04EE" w:rsidP="00311FC1">
      <w:pPr>
        <w:pStyle w:val="Clause"/>
      </w:pPr>
      <w:r w:rsidRPr="0088017A">
        <w:t>Submittals</w:t>
      </w:r>
    </w:p>
    <w:p w:rsidR="005D04EE" w:rsidRPr="0088017A" w:rsidRDefault="005D04EE" w:rsidP="00311FC1">
      <w:pPr>
        <w:pStyle w:val="SubClause"/>
      </w:pPr>
      <w:r w:rsidRPr="0088017A">
        <w:t xml:space="preserve">Submittals shall be provided for Standardized </w:t>
      </w:r>
      <w:r w:rsidR="009530D1" w:rsidRPr="0088017A">
        <w:t>Goods</w:t>
      </w:r>
      <w:r w:rsidRPr="0088017A">
        <w:t xml:space="preserve"> in accordance with the Specifications and </w:t>
      </w:r>
      <w:r w:rsidR="00B60509" w:rsidRPr="0088017A">
        <w:t xml:space="preserve">typical industry practice.  Submittals shall not be bypassed for Standardized </w:t>
      </w:r>
      <w:r w:rsidR="009530D1" w:rsidRPr="0088017A">
        <w:t>Goods</w:t>
      </w:r>
      <w:r w:rsidR="00B60509" w:rsidRPr="0088017A">
        <w:t>.</w:t>
      </w:r>
    </w:p>
    <w:p w:rsidR="00C62626" w:rsidRPr="0088017A" w:rsidRDefault="00C143B4" w:rsidP="00311FC1">
      <w:pPr>
        <w:pStyle w:val="CLAUSEHEADING"/>
      </w:pPr>
      <w:bookmarkStart w:id="87" w:name="_Ref436401054"/>
      <w:bookmarkStart w:id="88" w:name="_Toc443923987"/>
      <w:r w:rsidRPr="0088017A">
        <w:t xml:space="preserve">Standardized </w:t>
      </w:r>
      <w:r w:rsidR="00316CE5" w:rsidRPr="0088017A">
        <w:t>Control System and Motor Control Equipment</w:t>
      </w:r>
      <w:bookmarkEnd w:id="87"/>
      <w:bookmarkEnd w:id="88"/>
    </w:p>
    <w:bookmarkEnd w:id="79"/>
    <w:p w:rsidR="00316CE5" w:rsidRPr="0088017A" w:rsidRDefault="00316CE5" w:rsidP="00311FC1">
      <w:pPr>
        <w:pStyle w:val="Clause"/>
      </w:pPr>
      <w:r w:rsidRPr="0088017A">
        <w:t xml:space="preserve">The City has standardized on a specific vendor for the supply and delivery of control system and motor control equipment.  The </w:t>
      </w:r>
      <w:r w:rsidR="00AB4E0C" w:rsidRPr="0088017A">
        <w:t>S</w:t>
      </w:r>
      <w:r w:rsidRPr="0088017A">
        <w:t>tandardiz</w:t>
      </w:r>
      <w:r w:rsidR="00AB4E0C" w:rsidRPr="0088017A">
        <w:t>ation</w:t>
      </w:r>
      <w:r w:rsidRPr="0088017A">
        <w:t xml:space="preserve"> </w:t>
      </w:r>
      <w:r w:rsidR="00AB4E0C" w:rsidRPr="0088017A">
        <w:t>V</w:t>
      </w:r>
      <w:r w:rsidRPr="0088017A">
        <w:t>endor was selected via RFP 756-2013 and was awarded to Schneider Electric Canada Inc.</w:t>
      </w:r>
      <w:r w:rsidR="00F32112" w:rsidRPr="0088017A">
        <w:t xml:space="preserve"> (Schneider).</w:t>
      </w:r>
    </w:p>
    <w:p w:rsidR="002F0D5C" w:rsidRPr="0088017A" w:rsidRDefault="002F0D5C" w:rsidP="00311FC1">
      <w:pPr>
        <w:pStyle w:val="ClauseList"/>
      </w:pPr>
      <w:r w:rsidRPr="0088017A">
        <w:t xml:space="preserve">Refer to </w:t>
      </w:r>
      <w:r w:rsidRPr="0088017A">
        <w:fldChar w:fldCharType="begin"/>
      </w:r>
      <w:r w:rsidRPr="0088017A">
        <w:instrText xml:space="preserve"> REF _Ref447896962 \r \h </w:instrText>
      </w:r>
      <w:r w:rsidR="0088017A">
        <w:instrText xml:space="preserve"> \* MERGEFORMAT </w:instrText>
      </w:r>
      <w:r w:rsidRPr="0088017A">
        <w:fldChar w:fldCharType="separate"/>
      </w:r>
      <w:r w:rsidRPr="0088017A">
        <w:t>E3.6</w:t>
      </w:r>
      <w:r w:rsidRPr="0088017A">
        <w:fldChar w:fldCharType="end"/>
      </w:r>
      <w:r w:rsidRPr="0088017A">
        <w:t xml:space="preserve"> for contact information.</w:t>
      </w:r>
    </w:p>
    <w:p w:rsidR="00316CE5" w:rsidRPr="0088017A" w:rsidRDefault="00316CE5" w:rsidP="00311FC1">
      <w:pPr>
        <w:pStyle w:val="ClauseList"/>
      </w:pPr>
      <w:r w:rsidRPr="0088017A">
        <w:t>Copies of the tender documents are available from City of Winnipeg Material Management’s website.</w:t>
      </w:r>
    </w:p>
    <w:p w:rsidR="00316CE5" w:rsidRPr="0088017A" w:rsidRDefault="008F71B2" w:rsidP="00311FC1">
      <w:pPr>
        <w:pStyle w:val="Clause"/>
      </w:pPr>
      <w:r w:rsidRPr="0088017A">
        <w:t>Goods</w:t>
      </w:r>
      <w:r w:rsidR="00316CE5" w:rsidRPr="0088017A">
        <w:t xml:space="preserve"> to be procured via this standardization agreement includes but is not limited to:</w:t>
      </w:r>
    </w:p>
    <w:p w:rsidR="00316CE5" w:rsidRPr="0088017A" w:rsidRDefault="00316CE5" w:rsidP="00311FC1">
      <w:pPr>
        <w:pStyle w:val="ClauseList"/>
      </w:pPr>
      <w:r w:rsidRPr="0088017A">
        <w:t>Programmable Controllers</w:t>
      </w:r>
      <w:r w:rsidR="002A1068" w:rsidRPr="0088017A">
        <w:t xml:space="preserve"> (PLCs) including all associated components, hardware and software.</w:t>
      </w:r>
    </w:p>
    <w:p w:rsidR="002A1068" w:rsidRPr="0088017A" w:rsidRDefault="002A1068" w:rsidP="00311FC1">
      <w:pPr>
        <w:pStyle w:val="ClauseList"/>
      </w:pPr>
      <w:r w:rsidRPr="0088017A">
        <w:t>PLC to Infi90 Termination Unit migration cables.</w:t>
      </w:r>
    </w:p>
    <w:p w:rsidR="002A1068" w:rsidRPr="0088017A" w:rsidRDefault="002A1068" w:rsidP="00311FC1">
      <w:pPr>
        <w:pStyle w:val="ClauseList"/>
      </w:pPr>
      <w:r w:rsidRPr="0088017A">
        <w:t>Programmable Controller Programming Software.</w:t>
      </w:r>
    </w:p>
    <w:p w:rsidR="002A1068" w:rsidRPr="0088017A" w:rsidRDefault="002A1068" w:rsidP="00311FC1">
      <w:pPr>
        <w:pStyle w:val="ClauseList"/>
      </w:pPr>
      <w:r w:rsidRPr="0088017A">
        <w:t>Process Simulator Software.</w:t>
      </w:r>
    </w:p>
    <w:p w:rsidR="002A1068" w:rsidRPr="0088017A" w:rsidRDefault="002A1068" w:rsidP="00311FC1">
      <w:pPr>
        <w:pStyle w:val="ClauseList"/>
      </w:pPr>
      <w:r w:rsidRPr="0088017A">
        <w:t>HMI System software.</w:t>
      </w:r>
    </w:p>
    <w:p w:rsidR="002A1068" w:rsidRPr="0088017A" w:rsidRDefault="002A1068" w:rsidP="00311FC1">
      <w:pPr>
        <w:pStyle w:val="ClauseList"/>
      </w:pPr>
      <w:r w:rsidRPr="0088017A">
        <w:t>Historian Server and Client Software.</w:t>
      </w:r>
    </w:p>
    <w:p w:rsidR="002A1068" w:rsidRPr="0088017A" w:rsidRDefault="002A1068" w:rsidP="00311FC1">
      <w:pPr>
        <w:pStyle w:val="ClauseList"/>
      </w:pPr>
      <w:r w:rsidRPr="0088017A">
        <w:t>Touchscreen HMI systems such as Magellis HMIs.</w:t>
      </w:r>
    </w:p>
    <w:p w:rsidR="002A1068" w:rsidRPr="0088017A" w:rsidRDefault="002A1068" w:rsidP="00311FC1">
      <w:pPr>
        <w:pStyle w:val="ClauseList"/>
      </w:pPr>
      <w:r w:rsidRPr="0088017A">
        <w:t>Touchscreen HMI Programming Software.</w:t>
      </w:r>
    </w:p>
    <w:p w:rsidR="002A1068" w:rsidRPr="0088017A" w:rsidRDefault="002A1068" w:rsidP="00311FC1">
      <w:pPr>
        <w:pStyle w:val="ClauseList"/>
      </w:pPr>
      <w:r w:rsidRPr="0088017A">
        <w:t>Motor Control Centers including all components</w:t>
      </w:r>
    </w:p>
    <w:p w:rsidR="002A1068" w:rsidRPr="0088017A" w:rsidRDefault="002A1068" w:rsidP="00311FC1">
      <w:pPr>
        <w:pStyle w:val="ClauseList"/>
      </w:pPr>
      <w:r w:rsidRPr="0088017A">
        <w:t>Loose VFDs, motor starters, soft starters, and associated components.</w:t>
      </w:r>
    </w:p>
    <w:p w:rsidR="002A1068" w:rsidRPr="0088017A" w:rsidRDefault="002A1068" w:rsidP="00311FC1">
      <w:pPr>
        <w:pStyle w:val="ClauseList"/>
      </w:pPr>
      <w:r w:rsidRPr="0088017A">
        <w:t>Industrial Ethernet Switches as per design.  Note that some Ethernet switches may be specified to be from other vendors due to application requirements.  Refer to drawings and specifications.</w:t>
      </w:r>
    </w:p>
    <w:p w:rsidR="002A1068" w:rsidRPr="0088017A" w:rsidRDefault="002A1068" w:rsidP="00311FC1">
      <w:pPr>
        <w:pStyle w:val="ClauseList"/>
      </w:pPr>
      <w:r w:rsidRPr="0088017A">
        <w:t>Version Management Software.</w:t>
      </w:r>
    </w:p>
    <w:p w:rsidR="002A1068" w:rsidRPr="0088017A" w:rsidRDefault="002A1068" w:rsidP="00311FC1">
      <w:pPr>
        <w:pStyle w:val="ClauseList"/>
      </w:pPr>
      <w:r w:rsidRPr="0088017A">
        <w:t>Information Server Software.</w:t>
      </w:r>
    </w:p>
    <w:p w:rsidR="00E65C54" w:rsidRPr="0088017A" w:rsidRDefault="00E65C54" w:rsidP="00E65C54">
      <w:pPr>
        <w:pStyle w:val="Instructions"/>
      </w:pPr>
      <w:r w:rsidRPr="0088017A">
        <w:t>Ensure that the appropriate specifications are provided to fully detail the equipment that the vendor needs to supply. Do not assume that the vendor understands the project requirements.</w:t>
      </w:r>
    </w:p>
    <w:p w:rsidR="00C62626" w:rsidRPr="0088017A" w:rsidRDefault="00316CE5" w:rsidP="00E65C54">
      <w:pPr>
        <w:pStyle w:val="Clause"/>
        <w:keepNext/>
      </w:pPr>
      <w:r w:rsidRPr="0088017A">
        <w:t xml:space="preserve">For clarity, </w:t>
      </w:r>
      <w:r w:rsidR="008F71B2" w:rsidRPr="0088017A">
        <w:t xml:space="preserve">this </w:t>
      </w:r>
      <w:r w:rsidRPr="0088017A">
        <w:t xml:space="preserve">standardization agreement </w:t>
      </w:r>
      <w:r w:rsidR="002A1068" w:rsidRPr="0088017A">
        <w:t xml:space="preserve">does not </w:t>
      </w:r>
      <w:r w:rsidRPr="0088017A">
        <w:t>include:</w:t>
      </w:r>
    </w:p>
    <w:p w:rsidR="00316CE5" w:rsidRPr="0088017A" w:rsidRDefault="00316CE5" w:rsidP="00E65C54">
      <w:pPr>
        <w:pStyle w:val="ClauseList"/>
        <w:keepNext/>
      </w:pPr>
      <w:r w:rsidRPr="0088017A">
        <w:t>Computer workstation hardw</w:t>
      </w:r>
      <w:r w:rsidR="005C4308" w:rsidRPr="0088017A">
        <w:t>are including operating systems;</w:t>
      </w:r>
    </w:p>
    <w:p w:rsidR="00316CE5" w:rsidRPr="0088017A" w:rsidRDefault="00316CE5" w:rsidP="00311FC1">
      <w:pPr>
        <w:pStyle w:val="ClauseList"/>
      </w:pPr>
      <w:r w:rsidRPr="0088017A">
        <w:t>Computer server hardware, including operating systems</w:t>
      </w:r>
      <w:r w:rsidR="005C4308" w:rsidRPr="0088017A">
        <w:t xml:space="preserve"> and general terminal server / client software;</w:t>
      </w:r>
    </w:p>
    <w:p w:rsidR="005C4308" w:rsidRPr="0088017A" w:rsidRDefault="005C4308" w:rsidP="00311FC1">
      <w:pPr>
        <w:pStyle w:val="ClauseList"/>
      </w:pPr>
      <w:r w:rsidRPr="0088017A">
        <w:t>Thin client terminals;</w:t>
      </w:r>
    </w:p>
    <w:p w:rsidR="00316CE5" w:rsidRPr="0088017A" w:rsidRDefault="00316CE5" w:rsidP="00311FC1">
      <w:pPr>
        <w:pStyle w:val="ClauseList"/>
      </w:pPr>
      <w:r w:rsidRPr="0088017A">
        <w:t xml:space="preserve">Fused and un-fused disconnect switches not incorporated into a MCC or other motor </w:t>
      </w:r>
      <w:r w:rsidR="005C4308" w:rsidRPr="0088017A">
        <w:t>starter;</w:t>
      </w:r>
    </w:p>
    <w:p w:rsidR="00316CE5" w:rsidRPr="0088017A" w:rsidRDefault="00316CE5" w:rsidP="00311FC1">
      <w:pPr>
        <w:pStyle w:val="ClauseList"/>
      </w:pPr>
      <w:r w:rsidRPr="0088017A">
        <w:t>Control stations and pendants not incorporated in</w:t>
      </w:r>
      <w:r w:rsidR="005C4308" w:rsidRPr="0088017A">
        <w:t>to a MCC or other motor starter;</w:t>
      </w:r>
    </w:p>
    <w:p w:rsidR="00E15F61" w:rsidRPr="0088017A" w:rsidRDefault="00E15F61" w:rsidP="00311FC1">
      <w:pPr>
        <w:pStyle w:val="ClauseList"/>
      </w:pPr>
      <w:r w:rsidRPr="0088017A">
        <w:t>Electrical Transforme</w:t>
      </w:r>
      <w:r w:rsidR="005C4308" w:rsidRPr="0088017A">
        <w:t>rs not in a MCC or motor starter;</w:t>
      </w:r>
    </w:p>
    <w:p w:rsidR="00E15F61" w:rsidRPr="0088017A" w:rsidRDefault="00E15F61" w:rsidP="00311FC1">
      <w:pPr>
        <w:pStyle w:val="ClauseList"/>
      </w:pPr>
      <w:r w:rsidRPr="0088017A">
        <w:t>Panelboards not integrated in a MCC</w:t>
      </w:r>
      <w:r w:rsidR="005C4308" w:rsidRPr="0088017A">
        <w:t>;</w:t>
      </w:r>
    </w:p>
    <w:p w:rsidR="00E15F61" w:rsidRPr="0088017A" w:rsidRDefault="00E15F61" w:rsidP="00311FC1">
      <w:pPr>
        <w:pStyle w:val="ClauseList"/>
      </w:pPr>
      <w:r w:rsidRPr="0088017A">
        <w:t>Switchboards / Switchgear not integrated in a MCC</w:t>
      </w:r>
      <w:r w:rsidR="005C4308" w:rsidRPr="0088017A">
        <w:t>;</w:t>
      </w:r>
    </w:p>
    <w:p w:rsidR="00E15F61" w:rsidRPr="0088017A" w:rsidRDefault="00E15F61" w:rsidP="00311FC1">
      <w:pPr>
        <w:pStyle w:val="ClauseList"/>
      </w:pPr>
      <w:r w:rsidRPr="0088017A">
        <w:t>System Integration Services</w:t>
      </w:r>
      <w:r w:rsidR="007D3B1E" w:rsidRPr="0088017A">
        <w:t xml:space="preserve"> (including programming and configuration)</w:t>
      </w:r>
      <w:r w:rsidR="005C4308" w:rsidRPr="0088017A">
        <w:t>;</w:t>
      </w:r>
    </w:p>
    <w:p w:rsidR="00E15F61" w:rsidRPr="0088017A" w:rsidRDefault="00E15F61" w:rsidP="00311FC1">
      <w:pPr>
        <w:pStyle w:val="ClauseList"/>
      </w:pPr>
      <w:r w:rsidRPr="0088017A">
        <w:t>Control Panels to house PLCs</w:t>
      </w:r>
      <w:r w:rsidR="005C4308" w:rsidRPr="0088017A">
        <w:t>;</w:t>
      </w:r>
    </w:p>
    <w:p w:rsidR="00E15F61" w:rsidRPr="0088017A" w:rsidRDefault="00E15F61" w:rsidP="00311FC1">
      <w:pPr>
        <w:pStyle w:val="ClauseList"/>
      </w:pPr>
      <w:r w:rsidRPr="0088017A">
        <w:t>Instrumentation</w:t>
      </w:r>
      <w:r w:rsidR="005C4308" w:rsidRPr="0088017A">
        <w:t>;</w:t>
      </w:r>
    </w:p>
    <w:p w:rsidR="00E15F61" w:rsidRPr="0088017A" w:rsidRDefault="00E15F61" w:rsidP="00311FC1">
      <w:pPr>
        <w:pStyle w:val="ClauseList"/>
      </w:pPr>
      <w:r w:rsidRPr="0088017A">
        <w:t>Power supplies not integrated with the PLC / HMI systems</w:t>
      </w:r>
      <w:r w:rsidR="005C4308" w:rsidRPr="0088017A">
        <w:t>; and</w:t>
      </w:r>
    </w:p>
    <w:p w:rsidR="00316CE5" w:rsidRPr="0088017A" w:rsidRDefault="00E15F61" w:rsidP="00311FC1">
      <w:pPr>
        <w:pStyle w:val="ClauseList"/>
      </w:pPr>
      <w:r w:rsidRPr="0088017A">
        <w:t>Terminal blocks not integrated with the PLC / HMI systems</w:t>
      </w:r>
    </w:p>
    <w:p w:rsidR="00F139A6" w:rsidRPr="0088017A" w:rsidRDefault="00F139A6" w:rsidP="00311FC1">
      <w:pPr>
        <w:pStyle w:val="Clause"/>
      </w:pPr>
      <w:r w:rsidRPr="0088017A">
        <w:t>The following model series shall be utilized unless otherwise indicated in the Specifications, Drawings or otherwise approved by the Contract Administrator:</w:t>
      </w:r>
    </w:p>
    <w:p w:rsidR="00F139A6" w:rsidRPr="0088017A" w:rsidRDefault="005C4308" w:rsidP="00311FC1">
      <w:pPr>
        <w:pStyle w:val="ClauseList"/>
      </w:pPr>
      <w:r w:rsidRPr="0088017A">
        <w:t>Quantum, M580, and M340 PLCs;</w:t>
      </w:r>
    </w:p>
    <w:p w:rsidR="00F139A6" w:rsidRPr="0088017A" w:rsidRDefault="005C4308" w:rsidP="00311FC1">
      <w:pPr>
        <w:pStyle w:val="ClauseList"/>
      </w:pPr>
      <w:r w:rsidRPr="0088017A">
        <w:t>X80 PLC I/O;</w:t>
      </w:r>
    </w:p>
    <w:p w:rsidR="00F139A6" w:rsidRPr="0088017A" w:rsidRDefault="005C4308" w:rsidP="00311FC1">
      <w:pPr>
        <w:pStyle w:val="ClauseList"/>
      </w:pPr>
      <w:r w:rsidRPr="0088017A">
        <w:t>Unity Pro programming software;</w:t>
      </w:r>
    </w:p>
    <w:p w:rsidR="00F139A6" w:rsidRPr="0088017A" w:rsidRDefault="00F139A6" w:rsidP="00311FC1">
      <w:pPr>
        <w:pStyle w:val="ClauseList"/>
      </w:pPr>
      <w:proofErr w:type="spellStart"/>
      <w:r w:rsidRPr="0088017A">
        <w:t>Vijeo</w:t>
      </w:r>
      <w:proofErr w:type="spellEnd"/>
      <w:r w:rsidRPr="0088017A">
        <w:t xml:space="preserve"> </w:t>
      </w:r>
      <w:proofErr w:type="spellStart"/>
      <w:r w:rsidRPr="0088017A">
        <w:t>Citect</w:t>
      </w:r>
      <w:proofErr w:type="spellEnd"/>
      <w:r w:rsidR="005C4308" w:rsidRPr="0088017A">
        <w:t xml:space="preserve"> HMI systems;</w:t>
      </w:r>
    </w:p>
    <w:p w:rsidR="00F139A6" w:rsidRPr="0088017A" w:rsidRDefault="005C4308" w:rsidP="00311FC1">
      <w:pPr>
        <w:pStyle w:val="ClauseList"/>
      </w:pPr>
      <w:proofErr w:type="spellStart"/>
      <w:r w:rsidRPr="0088017A">
        <w:t>Wonderware</w:t>
      </w:r>
      <w:proofErr w:type="spellEnd"/>
      <w:r w:rsidRPr="0088017A">
        <w:t xml:space="preserve"> Historian;</w:t>
      </w:r>
    </w:p>
    <w:p w:rsidR="00F139A6" w:rsidRPr="0088017A" w:rsidRDefault="00F139A6" w:rsidP="00311FC1">
      <w:pPr>
        <w:pStyle w:val="ClauseList"/>
      </w:pPr>
      <w:r w:rsidRPr="0088017A">
        <w:t xml:space="preserve">Local HMI – </w:t>
      </w:r>
      <w:r w:rsidR="002F0D5C" w:rsidRPr="0088017A">
        <w:t>Magellis HMI</w:t>
      </w:r>
      <w:r w:rsidR="00F57C31" w:rsidRPr="0088017A">
        <w:t>GTO</w:t>
      </w:r>
      <w:r w:rsidR="005C4308" w:rsidRPr="0088017A">
        <w:t xml:space="preserve"> </w:t>
      </w:r>
      <w:r w:rsidR="00F57C31" w:rsidRPr="0088017A">
        <w:t xml:space="preserve">or </w:t>
      </w:r>
      <w:r w:rsidR="002F0D5C" w:rsidRPr="0088017A">
        <w:t>HMI</w:t>
      </w:r>
      <w:r w:rsidR="00F57C31" w:rsidRPr="0088017A">
        <w:t xml:space="preserve">GTU </w:t>
      </w:r>
      <w:r w:rsidR="005C4308" w:rsidRPr="0088017A">
        <w:t>series;</w:t>
      </w:r>
    </w:p>
    <w:p w:rsidR="00F139A6" w:rsidRPr="0088017A" w:rsidRDefault="00F139A6" w:rsidP="00311FC1">
      <w:pPr>
        <w:pStyle w:val="ClauseList"/>
      </w:pPr>
      <w:r w:rsidRPr="0088017A">
        <w:t>Model 6 MCC –</w:t>
      </w:r>
      <w:r w:rsidR="00F57C31" w:rsidRPr="0088017A">
        <w:t xml:space="preserve"> </w:t>
      </w:r>
      <w:r w:rsidRPr="0088017A">
        <w:t>NEMA rated starters, Intelligent Ethern</w:t>
      </w:r>
      <w:r w:rsidR="005C4308" w:rsidRPr="0088017A">
        <w:t>et (unless otherwise specified);</w:t>
      </w:r>
    </w:p>
    <w:p w:rsidR="00F139A6" w:rsidRPr="0088017A" w:rsidRDefault="005C4308" w:rsidP="00311FC1">
      <w:pPr>
        <w:pStyle w:val="ClauseList"/>
      </w:pPr>
      <w:r w:rsidRPr="0088017A">
        <w:t>Altivar 61 series VFDs for variable torque applications; and</w:t>
      </w:r>
    </w:p>
    <w:p w:rsidR="005C4308" w:rsidRPr="0088017A" w:rsidRDefault="005C4308" w:rsidP="00311FC1">
      <w:pPr>
        <w:pStyle w:val="ClauseList"/>
      </w:pPr>
      <w:r w:rsidRPr="0088017A">
        <w:t>Altivar 71 series VFDs for variable torque applications.</w:t>
      </w:r>
    </w:p>
    <w:p w:rsidR="00F32112" w:rsidRPr="0088017A" w:rsidRDefault="00F32112" w:rsidP="00311FC1">
      <w:pPr>
        <w:pStyle w:val="Clause"/>
      </w:pPr>
      <w:r w:rsidRPr="0088017A">
        <w:t>Commissioning and start-up:</w:t>
      </w:r>
    </w:p>
    <w:p w:rsidR="00F32112" w:rsidRPr="0088017A" w:rsidRDefault="00F32112" w:rsidP="00311FC1">
      <w:pPr>
        <w:pStyle w:val="SubClause"/>
      </w:pPr>
      <w:r w:rsidRPr="0088017A">
        <w:t xml:space="preserve">Commissioning and start-up of all goods purchased under this standardization agreement shall be performed by the Contractor.  Schneider is only obligated to provide MCC start-up services under the Standardization Agreement.  Coordinate with Schneider as required to understand the limitations of Schneider’s MCC start-up services and provide all remaining </w:t>
      </w:r>
      <w:r w:rsidR="00244DFA" w:rsidRPr="0088017A">
        <w:t xml:space="preserve">testing, commissioning and start-up </w:t>
      </w:r>
      <w:r w:rsidRPr="0088017A">
        <w:t>services to provide a complete commissioning and start-up.</w:t>
      </w:r>
    </w:p>
    <w:p w:rsidR="006349F6" w:rsidRPr="0088017A" w:rsidRDefault="006349F6" w:rsidP="006349F6">
      <w:pPr>
        <w:pStyle w:val="Instructions"/>
      </w:pPr>
      <w:r w:rsidRPr="0088017A">
        <w:t>Ensure that complete start-up and commissioning requirements are identified in the specifications.</w:t>
      </w:r>
    </w:p>
    <w:p w:rsidR="00E15F61" w:rsidRPr="0088017A" w:rsidRDefault="00E15F61" w:rsidP="00A7422E">
      <w:pPr>
        <w:pStyle w:val="Clause"/>
        <w:keepNext/>
      </w:pPr>
      <w:bookmarkStart w:id="89" w:name="_Ref447896962"/>
      <w:r w:rsidRPr="0088017A">
        <w:t>Primary contact for all quotations and purchases:</w:t>
      </w:r>
      <w:bookmarkEnd w:id="89"/>
    </w:p>
    <w:p w:rsidR="00E15F61" w:rsidRPr="0088017A" w:rsidRDefault="00E15F61" w:rsidP="00F139A6">
      <w:pPr>
        <w:keepNext/>
        <w:keepLines/>
        <w:ind w:left="1440"/>
      </w:pPr>
    </w:p>
    <w:p w:rsidR="00E15F61" w:rsidRPr="0088017A" w:rsidRDefault="00E15F61" w:rsidP="00F139A6">
      <w:pPr>
        <w:keepNext/>
        <w:keepLines/>
        <w:ind w:left="1440"/>
      </w:pPr>
      <w:r w:rsidRPr="0088017A">
        <w:t>Garth Eastman</w:t>
      </w:r>
    </w:p>
    <w:p w:rsidR="00E15F61" w:rsidRPr="0088017A" w:rsidRDefault="00E15F61" w:rsidP="00F139A6">
      <w:pPr>
        <w:keepNext/>
        <w:keepLines/>
        <w:ind w:left="1440"/>
      </w:pPr>
      <w:r w:rsidRPr="0088017A">
        <w:t xml:space="preserve">21 </w:t>
      </w:r>
      <w:proofErr w:type="spellStart"/>
      <w:r w:rsidRPr="0088017A">
        <w:t>Omands</w:t>
      </w:r>
      <w:proofErr w:type="spellEnd"/>
      <w:r w:rsidRPr="0088017A">
        <w:t xml:space="preserve"> Creek Blvd</w:t>
      </w:r>
    </w:p>
    <w:p w:rsidR="00E15F61" w:rsidRPr="0088017A" w:rsidRDefault="00E15F61" w:rsidP="00F139A6">
      <w:pPr>
        <w:keepNext/>
        <w:keepLines/>
        <w:ind w:left="1440"/>
      </w:pPr>
      <w:r w:rsidRPr="0088017A">
        <w:t>Winnipeg, MB, R2R 2V2</w:t>
      </w:r>
    </w:p>
    <w:p w:rsidR="00E15F61" w:rsidRPr="0088017A" w:rsidRDefault="00244DFA" w:rsidP="00F139A6">
      <w:pPr>
        <w:keepNext/>
        <w:keepLines/>
        <w:ind w:left="1440"/>
      </w:pPr>
      <w:r w:rsidRPr="0088017A">
        <w:t>Telephone:</w:t>
      </w:r>
      <w:r w:rsidRPr="0088017A">
        <w:tab/>
      </w:r>
      <w:r w:rsidR="00E15F61" w:rsidRPr="0088017A">
        <w:t>204-631-0670</w:t>
      </w:r>
    </w:p>
    <w:p w:rsidR="00E15F61" w:rsidRPr="0088017A" w:rsidRDefault="00244DFA" w:rsidP="00F139A6">
      <w:pPr>
        <w:keepNext/>
        <w:keepLines/>
        <w:ind w:left="1440"/>
      </w:pPr>
      <w:r w:rsidRPr="0088017A">
        <w:t>E-mail:</w:t>
      </w:r>
      <w:r w:rsidRPr="0088017A">
        <w:tab/>
      </w:r>
      <w:r w:rsidRPr="0088017A">
        <w:tab/>
      </w:r>
      <w:r w:rsidR="00E15F61" w:rsidRPr="0088017A">
        <w:t>garth.eastman@ca.schneider-electric.com</w:t>
      </w:r>
      <w:r w:rsidR="00E15F61" w:rsidRPr="0088017A">
        <w:cr/>
      </w:r>
    </w:p>
    <w:p w:rsidR="00B60509" w:rsidRPr="0088017A" w:rsidRDefault="00B60509" w:rsidP="00A7422E">
      <w:pPr>
        <w:pStyle w:val="Clause"/>
        <w:keepNext/>
      </w:pPr>
      <w:r w:rsidRPr="0088017A">
        <w:t>Quotations and orders:</w:t>
      </w:r>
    </w:p>
    <w:p w:rsidR="00B60509" w:rsidRPr="0088017A" w:rsidRDefault="00B60509" w:rsidP="00311FC1">
      <w:pPr>
        <w:pStyle w:val="SubClause"/>
      </w:pPr>
      <w:r w:rsidRPr="0088017A">
        <w:t xml:space="preserve">Reference </w:t>
      </w:r>
      <w:r w:rsidR="000A1E27" w:rsidRPr="0088017A">
        <w:t xml:space="preserve">the following </w:t>
      </w:r>
      <w:r w:rsidRPr="0088017A">
        <w:t>in all quotation requests and purchase orders</w:t>
      </w:r>
      <w:r w:rsidR="000A1E27" w:rsidRPr="0088017A">
        <w:t>:</w:t>
      </w:r>
    </w:p>
    <w:p w:rsidR="000A1E27" w:rsidRPr="0088017A" w:rsidRDefault="000A1E27" w:rsidP="000A1E27">
      <w:pPr>
        <w:pStyle w:val="SubClauseList"/>
      </w:pPr>
      <w:r w:rsidRPr="0088017A">
        <w:t>This Bid Opportunity number; and</w:t>
      </w:r>
    </w:p>
    <w:p w:rsidR="000A1E27" w:rsidRPr="0088017A" w:rsidRDefault="000A1E27" w:rsidP="000A1E27">
      <w:pPr>
        <w:pStyle w:val="SubClauseList"/>
      </w:pPr>
      <w:r w:rsidRPr="0088017A">
        <w:t xml:space="preserve">The standardization agreement number </w:t>
      </w:r>
      <w:r w:rsidR="00FC1524">
        <w:t xml:space="preserve">RFP </w:t>
      </w:r>
      <w:r w:rsidRPr="0088017A">
        <w:t>756-2013.</w:t>
      </w:r>
    </w:p>
    <w:p w:rsidR="000A1E27" w:rsidRPr="0088017A" w:rsidRDefault="00C143B4" w:rsidP="00311FC1">
      <w:pPr>
        <w:pStyle w:val="CLAUSEHEADING"/>
      </w:pPr>
      <w:bookmarkStart w:id="90" w:name="_Ref436401059"/>
      <w:bookmarkStart w:id="91" w:name="_Toc443923988"/>
      <w:r w:rsidRPr="0088017A">
        <w:t xml:space="preserve">Standardized </w:t>
      </w:r>
      <w:r w:rsidR="000A1E27" w:rsidRPr="0088017A">
        <w:t>Electric Valve Actuators</w:t>
      </w:r>
      <w:bookmarkEnd w:id="90"/>
      <w:bookmarkEnd w:id="91"/>
    </w:p>
    <w:p w:rsidR="000A1E27" w:rsidRPr="0088017A" w:rsidRDefault="000A1E27" w:rsidP="00311FC1">
      <w:pPr>
        <w:pStyle w:val="Clause"/>
      </w:pPr>
      <w:r w:rsidRPr="0088017A">
        <w:t xml:space="preserve">The City has standardized on a specific vendor for the supply and delivery of electric valve actuators.  The </w:t>
      </w:r>
      <w:r w:rsidR="00AB4E0C" w:rsidRPr="0088017A">
        <w:t>S</w:t>
      </w:r>
      <w:r w:rsidRPr="0088017A">
        <w:t>tandardiz</w:t>
      </w:r>
      <w:r w:rsidR="00AB4E0C" w:rsidRPr="0088017A">
        <w:t>ation</w:t>
      </w:r>
      <w:r w:rsidRPr="0088017A">
        <w:t xml:space="preserve"> </w:t>
      </w:r>
      <w:r w:rsidR="00AB4E0C" w:rsidRPr="0088017A">
        <w:t>V</w:t>
      </w:r>
      <w:r w:rsidRPr="0088017A">
        <w:t>endor was selected via RFP 331-2014 and was awarded to Rotork Control Canada Ltd.</w:t>
      </w:r>
      <w:r w:rsidR="00F32112" w:rsidRPr="0088017A">
        <w:t xml:space="preserve"> (Rotork).</w:t>
      </w:r>
    </w:p>
    <w:p w:rsidR="000A1E27" w:rsidRPr="0088017A" w:rsidRDefault="000A1E27" w:rsidP="00311FC1">
      <w:pPr>
        <w:pStyle w:val="ClauseList"/>
      </w:pPr>
      <w:r w:rsidRPr="0088017A">
        <w:t>Copies of the tender documents are available from City of Winnipeg Material Management’s website.</w:t>
      </w:r>
    </w:p>
    <w:p w:rsidR="000A1E27" w:rsidRPr="0088017A" w:rsidRDefault="008F71B2" w:rsidP="00311FC1">
      <w:pPr>
        <w:pStyle w:val="Clause"/>
      </w:pPr>
      <w:r w:rsidRPr="0088017A">
        <w:t>Goods</w:t>
      </w:r>
      <w:r w:rsidR="000A1E27" w:rsidRPr="0088017A">
        <w:t xml:space="preserve"> to be procured via this standardization agreement include but </w:t>
      </w:r>
      <w:r w:rsidRPr="0088017A">
        <w:t>are</w:t>
      </w:r>
      <w:r w:rsidR="000A1E27" w:rsidRPr="0088017A">
        <w:t xml:space="preserve"> not limited to:</w:t>
      </w:r>
    </w:p>
    <w:p w:rsidR="000A1E27" w:rsidRPr="0088017A" w:rsidRDefault="000A1E27" w:rsidP="00311FC1">
      <w:pPr>
        <w:pStyle w:val="ClauseList"/>
      </w:pPr>
      <w:r w:rsidRPr="0088017A">
        <w:t xml:space="preserve">Multi-turn electric valve actuators and quarter-turn electric valve actuators with approximate torque requirements of: </w:t>
      </w:r>
    </w:p>
    <w:p w:rsidR="000A1E27" w:rsidRPr="0088017A" w:rsidRDefault="000A1E27" w:rsidP="000A1E27">
      <w:pPr>
        <w:pStyle w:val="SubClauseSubList"/>
      </w:pPr>
      <w:r w:rsidRPr="0088017A">
        <w:t>On/off torques &gt; 250 Nm</w:t>
      </w:r>
    </w:p>
    <w:p w:rsidR="000A1E27" w:rsidRPr="0088017A" w:rsidRDefault="000A1E27" w:rsidP="000A1E27">
      <w:pPr>
        <w:pStyle w:val="SubClauseSubList"/>
      </w:pPr>
      <w:r w:rsidRPr="0088017A">
        <w:t>Modulating torques &gt; 150 Nm</w:t>
      </w:r>
    </w:p>
    <w:p w:rsidR="000B3B6B" w:rsidRPr="0088017A" w:rsidRDefault="000B3B6B" w:rsidP="00311FC1">
      <w:pPr>
        <w:pStyle w:val="ClauseList"/>
      </w:pPr>
      <w:r w:rsidRPr="0088017A">
        <w:t>Associated accessories are also included in the agreement.</w:t>
      </w:r>
    </w:p>
    <w:p w:rsidR="00E65C54" w:rsidRPr="0088017A" w:rsidRDefault="00E65C54" w:rsidP="00E65C54">
      <w:pPr>
        <w:pStyle w:val="Instructions"/>
      </w:pPr>
      <w:r w:rsidRPr="0088017A">
        <w:t>Ensure that the appropriate specifications are provided to fully detail the equipment that the vendor needs to supply. Do not assume that the vendor understands the project requirements.</w:t>
      </w:r>
    </w:p>
    <w:p w:rsidR="000A1E27" w:rsidRPr="0088017A" w:rsidRDefault="000A1E27" w:rsidP="00311FC1">
      <w:pPr>
        <w:pStyle w:val="Clause"/>
      </w:pPr>
      <w:r w:rsidRPr="0088017A">
        <w:t>For clarity, this standardization agreement does not include:</w:t>
      </w:r>
    </w:p>
    <w:p w:rsidR="000A1E27" w:rsidRPr="0088017A" w:rsidRDefault="000A1E27" w:rsidP="00311FC1">
      <w:pPr>
        <w:pStyle w:val="ClauseList"/>
      </w:pPr>
      <w:r w:rsidRPr="0088017A">
        <w:t>Solenoid valve actuators;</w:t>
      </w:r>
    </w:p>
    <w:p w:rsidR="000A1E27" w:rsidRPr="0088017A" w:rsidRDefault="000B3B6B" w:rsidP="00311FC1">
      <w:pPr>
        <w:pStyle w:val="ClauseList"/>
      </w:pPr>
      <w:r w:rsidRPr="0088017A">
        <w:t>Small HVAC damper actuators; and</w:t>
      </w:r>
    </w:p>
    <w:p w:rsidR="000A1E27" w:rsidRPr="0088017A" w:rsidRDefault="000A1E27" w:rsidP="00311FC1">
      <w:pPr>
        <w:pStyle w:val="ClauseList"/>
      </w:pPr>
      <w:r w:rsidRPr="0088017A">
        <w:t>Electric valve actuator</w:t>
      </w:r>
      <w:r w:rsidR="000B3B6B" w:rsidRPr="0088017A">
        <w:t>s with a power supply &lt; 120 VAC.</w:t>
      </w:r>
    </w:p>
    <w:p w:rsidR="000A1E27" w:rsidRPr="0088017A" w:rsidRDefault="000A1E27" w:rsidP="00311FC1">
      <w:pPr>
        <w:pStyle w:val="Clause"/>
      </w:pPr>
      <w:r w:rsidRPr="0088017A">
        <w:t>The use of gearboxes shall not be utilized to reduce actuator torque requirements for the purpose of bypassing this standardization agreement.</w:t>
      </w:r>
    </w:p>
    <w:p w:rsidR="005F63BD" w:rsidRPr="0088017A" w:rsidRDefault="005F63BD" w:rsidP="00311FC1">
      <w:pPr>
        <w:pStyle w:val="Clause"/>
      </w:pPr>
      <w:r w:rsidRPr="0088017A">
        <w:t>The following model series shall be utilized unless otherwise indicated in the Specifications, Drawings or otherwise approved by the Contract Administrator:</w:t>
      </w:r>
    </w:p>
    <w:p w:rsidR="005F63BD" w:rsidRPr="0088017A" w:rsidRDefault="005F63BD" w:rsidP="00311FC1">
      <w:pPr>
        <w:pStyle w:val="ClauseList"/>
      </w:pPr>
      <w:r w:rsidRPr="0088017A">
        <w:t>IQ3 Range – (IQ, IQM, IQS, IQT, IQTM)</w:t>
      </w:r>
    </w:p>
    <w:p w:rsidR="00161A7E" w:rsidRPr="0088017A" w:rsidRDefault="00161A7E" w:rsidP="00311FC1">
      <w:pPr>
        <w:pStyle w:val="Clause"/>
      </w:pPr>
      <w:bookmarkStart w:id="92" w:name="_Ref436826695"/>
      <w:r w:rsidRPr="0088017A">
        <w:t xml:space="preserve">Valve </w:t>
      </w:r>
      <w:r w:rsidR="00227676" w:rsidRPr="0088017A">
        <w:t>Integration Assistance</w:t>
      </w:r>
      <w:bookmarkEnd w:id="92"/>
    </w:p>
    <w:p w:rsidR="00227676" w:rsidRPr="0088017A" w:rsidRDefault="00227676" w:rsidP="00227676">
      <w:pPr>
        <w:pStyle w:val="SubClause"/>
      </w:pPr>
      <w:r w:rsidRPr="0088017A">
        <w:t>Coordinate with Rotork to review the integration of valves with the valve actuators.  Comply with guidance provided by Rotork.</w:t>
      </w:r>
    </w:p>
    <w:p w:rsidR="00227676" w:rsidRPr="0088017A" w:rsidRDefault="00227676" w:rsidP="00227676">
      <w:pPr>
        <w:pStyle w:val="SubClause"/>
      </w:pPr>
      <w:r w:rsidRPr="0088017A">
        <w:t>The review provided by Rotork shall be for the purpose of ascertaining conformance of the actuator application with the given valve. The responsibility for integration of the valve with the valve actuator shall remain with the Contractor.</w:t>
      </w:r>
    </w:p>
    <w:p w:rsidR="00227676" w:rsidRPr="0088017A" w:rsidRDefault="00227676" w:rsidP="00227676">
      <w:pPr>
        <w:pStyle w:val="SubClause"/>
      </w:pPr>
      <w:r w:rsidRPr="0088017A">
        <w:t>Rotork will make all applicable actuator shop drawings and datasheets available to the Contractor to allow for integration of the valve with the valve actuator.</w:t>
      </w:r>
    </w:p>
    <w:p w:rsidR="00227676" w:rsidRPr="0088017A" w:rsidRDefault="00227676" w:rsidP="00227676">
      <w:pPr>
        <w:pStyle w:val="SubClause"/>
      </w:pPr>
      <w:r w:rsidRPr="0088017A">
        <w:t>In the event that the valve cannot directly attach to a standard base available for the electric actuator, supply and installation of valve adaptors between the actuator base and the valve will be the responsibility of the Contractor.</w:t>
      </w:r>
    </w:p>
    <w:p w:rsidR="00227676" w:rsidRPr="0088017A" w:rsidRDefault="00227676" w:rsidP="00227676">
      <w:pPr>
        <w:pStyle w:val="SubClause"/>
      </w:pPr>
      <w:r w:rsidRPr="0088017A">
        <w:t>Costs</w:t>
      </w:r>
    </w:p>
    <w:p w:rsidR="00227676" w:rsidRPr="0088017A" w:rsidRDefault="00244DFA" w:rsidP="00227676">
      <w:pPr>
        <w:pStyle w:val="SubClauseList"/>
      </w:pPr>
      <w:r w:rsidRPr="0088017A">
        <w:t>Rotork</w:t>
      </w:r>
      <w:r w:rsidR="00227676" w:rsidRPr="0088017A">
        <w:t xml:space="preserve"> is obligated to provide valve integration </w:t>
      </w:r>
      <w:r w:rsidR="008663C8" w:rsidRPr="0088017A">
        <w:t xml:space="preserve">assistance </w:t>
      </w:r>
      <w:r w:rsidR="00227676" w:rsidRPr="0088017A">
        <w:t>services at no additional cost above the supply of the actuator.</w:t>
      </w:r>
    </w:p>
    <w:p w:rsidR="00227676" w:rsidRPr="0088017A" w:rsidRDefault="00227676" w:rsidP="00A7422E">
      <w:pPr>
        <w:pStyle w:val="Clause"/>
        <w:keepNext/>
      </w:pPr>
      <w:r w:rsidRPr="0088017A">
        <w:t>Valve Integration Services</w:t>
      </w:r>
    </w:p>
    <w:p w:rsidR="00227676" w:rsidRPr="0088017A" w:rsidRDefault="00227676" w:rsidP="00227676">
      <w:pPr>
        <w:pStyle w:val="SubClause"/>
      </w:pPr>
      <w:r w:rsidRPr="0088017A">
        <w:t xml:space="preserve">The Contractor may engage Rotork to provide valve integration services in addition to that required in </w:t>
      </w:r>
      <w:r w:rsidRPr="0088017A">
        <w:fldChar w:fldCharType="begin"/>
      </w:r>
      <w:r w:rsidRPr="0088017A">
        <w:instrText xml:space="preserve"> REF _Ref436826695 \r \h </w:instrText>
      </w:r>
      <w:r w:rsidR="0088017A">
        <w:instrText xml:space="preserve"> \* MERGEFORMAT </w:instrText>
      </w:r>
      <w:r w:rsidRPr="0088017A">
        <w:fldChar w:fldCharType="separate"/>
      </w:r>
      <w:r w:rsidR="00A7422E" w:rsidRPr="0088017A">
        <w:t>E4.6</w:t>
      </w:r>
      <w:r w:rsidRPr="0088017A">
        <w:fldChar w:fldCharType="end"/>
      </w:r>
      <w:r w:rsidRPr="0088017A">
        <w:t>; however, this additional work would be outside of the Standardization Agreement.</w:t>
      </w:r>
    </w:p>
    <w:p w:rsidR="00227676" w:rsidRPr="0088017A" w:rsidRDefault="00227676" w:rsidP="00227676">
      <w:pPr>
        <w:pStyle w:val="SubClauseList"/>
      </w:pPr>
      <w:r w:rsidRPr="0088017A">
        <w:t>The Contractor is encouraged to provide the best value for services provided.</w:t>
      </w:r>
    </w:p>
    <w:p w:rsidR="00F32112" w:rsidRPr="0088017A" w:rsidRDefault="00F32112" w:rsidP="00311FC1">
      <w:pPr>
        <w:pStyle w:val="Clause"/>
      </w:pPr>
      <w:r w:rsidRPr="0088017A">
        <w:t>Field setup and commissioning:</w:t>
      </w:r>
    </w:p>
    <w:p w:rsidR="00F32112" w:rsidRPr="0088017A" w:rsidRDefault="00F32112" w:rsidP="00311FC1">
      <w:pPr>
        <w:pStyle w:val="SubClause"/>
      </w:pPr>
      <w:r w:rsidRPr="0088017A">
        <w:t xml:space="preserve">Field setup and commissioning of the actuators will be performed by Rotork under the Standardization Agreement.  Coordinate with Rotork as required to understand the limitations of </w:t>
      </w:r>
      <w:proofErr w:type="spellStart"/>
      <w:r w:rsidRPr="0088017A">
        <w:t>Rotork’s</w:t>
      </w:r>
      <w:proofErr w:type="spellEnd"/>
      <w:r w:rsidRPr="0088017A">
        <w:t xml:space="preserve"> field setup and commissioning services and provide all remaining services to provide a complete commissioning and start-up.</w:t>
      </w:r>
    </w:p>
    <w:p w:rsidR="006349F6" w:rsidRPr="0088017A" w:rsidRDefault="006349F6" w:rsidP="006349F6">
      <w:pPr>
        <w:pStyle w:val="Instructions"/>
      </w:pPr>
      <w:r w:rsidRPr="0088017A">
        <w:t>Ensure that complete start-up and commissioning requirements are identified in the specifications.</w:t>
      </w:r>
    </w:p>
    <w:p w:rsidR="000A1E27" w:rsidRPr="0088017A" w:rsidRDefault="000A1E27" w:rsidP="00311FC1">
      <w:pPr>
        <w:pStyle w:val="Clause"/>
      </w:pPr>
      <w:r w:rsidRPr="0088017A">
        <w:t>Primary contact for all quotations and purchases:</w:t>
      </w:r>
    </w:p>
    <w:p w:rsidR="000A1E27" w:rsidRPr="0088017A" w:rsidRDefault="000A1E27" w:rsidP="000A1E27">
      <w:pPr>
        <w:ind w:left="1440"/>
      </w:pPr>
    </w:p>
    <w:p w:rsidR="000A1E27" w:rsidRPr="0088017A" w:rsidRDefault="000A1E27" w:rsidP="000A1E27">
      <w:pPr>
        <w:ind w:left="1440"/>
      </w:pPr>
      <w:r w:rsidRPr="0088017A">
        <w:t xml:space="preserve">Mr. Henry </w:t>
      </w:r>
      <w:proofErr w:type="spellStart"/>
      <w:r w:rsidRPr="0088017A">
        <w:t>Zenteno</w:t>
      </w:r>
      <w:proofErr w:type="spellEnd"/>
    </w:p>
    <w:p w:rsidR="000A1E27" w:rsidRPr="0088017A" w:rsidRDefault="000A1E27" w:rsidP="000A1E27">
      <w:pPr>
        <w:ind w:left="1440"/>
      </w:pPr>
      <w:r w:rsidRPr="0088017A">
        <w:t>#6, 820 - 28th Street North East Street</w:t>
      </w:r>
    </w:p>
    <w:p w:rsidR="000A1E27" w:rsidRPr="0088017A" w:rsidRDefault="000A1E27" w:rsidP="000A1E27">
      <w:pPr>
        <w:ind w:left="1440"/>
      </w:pPr>
      <w:r w:rsidRPr="0088017A">
        <w:t>Calgary, Alberta, T2A 6K1</w:t>
      </w:r>
    </w:p>
    <w:p w:rsidR="008663C8" w:rsidRPr="0088017A" w:rsidRDefault="008663C8" w:rsidP="000A1E27">
      <w:pPr>
        <w:ind w:left="1440"/>
      </w:pPr>
      <w:r w:rsidRPr="0088017A">
        <w:t>Telephone:</w:t>
      </w:r>
      <w:r w:rsidRPr="0088017A">
        <w:tab/>
        <w:t>403-569-9455</w:t>
      </w:r>
    </w:p>
    <w:p w:rsidR="008663C8" w:rsidRPr="0088017A" w:rsidRDefault="008663C8" w:rsidP="008663C8">
      <w:pPr>
        <w:ind w:left="1440"/>
      </w:pPr>
      <w:r w:rsidRPr="0088017A">
        <w:t>Mobile:</w:t>
      </w:r>
      <w:r w:rsidRPr="0088017A">
        <w:tab/>
      </w:r>
      <w:r w:rsidRPr="0088017A">
        <w:tab/>
        <w:t>403-813-5850</w:t>
      </w:r>
    </w:p>
    <w:p w:rsidR="000A1E27" w:rsidRPr="0088017A" w:rsidRDefault="008663C8" w:rsidP="000A1E27">
      <w:pPr>
        <w:ind w:left="1440"/>
      </w:pPr>
      <w:r w:rsidRPr="0088017A">
        <w:t>E-mail:</w:t>
      </w:r>
      <w:r w:rsidRPr="0088017A">
        <w:tab/>
      </w:r>
      <w:r w:rsidRPr="0088017A">
        <w:tab/>
      </w:r>
      <w:hyperlink r:id="rId19" w:history="1">
        <w:r w:rsidR="000A1E27" w:rsidRPr="0088017A">
          <w:rPr>
            <w:rStyle w:val="Hyperlink"/>
          </w:rPr>
          <w:t>Henry.Zenteno@rotork.com</w:t>
        </w:r>
      </w:hyperlink>
    </w:p>
    <w:p w:rsidR="000A1E27" w:rsidRPr="0088017A" w:rsidRDefault="000A1E27" w:rsidP="000A1E27">
      <w:pPr>
        <w:ind w:left="1440"/>
      </w:pPr>
    </w:p>
    <w:p w:rsidR="000A1E27" w:rsidRPr="0088017A" w:rsidRDefault="000A1E27" w:rsidP="00311FC1">
      <w:pPr>
        <w:pStyle w:val="Clause"/>
      </w:pPr>
      <w:r w:rsidRPr="0088017A">
        <w:t>Quotations and orders:</w:t>
      </w:r>
    </w:p>
    <w:p w:rsidR="000A1E27" w:rsidRPr="0088017A" w:rsidRDefault="000A1E27" w:rsidP="00311FC1">
      <w:pPr>
        <w:pStyle w:val="SubClause"/>
      </w:pPr>
      <w:r w:rsidRPr="0088017A">
        <w:t>Reference the following in all quotation requests and purchase orders:</w:t>
      </w:r>
    </w:p>
    <w:p w:rsidR="000A1E27" w:rsidRPr="0088017A" w:rsidRDefault="000A1E27" w:rsidP="000A1E27">
      <w:pPr>
        <w:pStyle w:val="SubClauseList"/>
      </w:pPr>
      <w:r w:rsidRPr="0088017A">
        <w:t>This Bid Opportunity number; and</w:t>
      </w:r>
    </w:p>
    <w:p w:rsidR="000A1E27" w:rsidRPr="0088017A" w:rsidRDefault="000A1E27" w:rsidP="000A1E27">
      <w:pPr>
        <w:pStyle w:val="SubClauseList"/>
      </w:pPr>
      <w:r w:rsidRPr="0088017A">
        <w:t>The standardization agreement number 331-2014.</w:t>
      </w:r>
    </w:p>
    <w:p w:rsidR="000A1E27" w:rsidRPr="0088017A" w:rsidRDefault="00C143B4" w:rsidP="00161A7E">
      <w:pPr>
        <w:pStyle w:val="CLAUSEHEADING"/>
      </w:pPr>
      <w:bookmarkStart w:id="93" w:name="_Ref436401062"/>
      <w:bookmarkStart w:id="94" w:name="_Toc443923989"/>
      <w:r w:rsidRPr="0088017A">
        <w:t xml:space="preserve">Standardized </w:t>
      </w:r>
      <w:r w:rsidR="000A1E27" w:rsidRPr="0088017A">
        <w:t>Gas Detection Systems</w:t>
      </w:r>
      <w:bookmarkEnd w:id="93"/>
      <w:bookmarkEnd w:id="94"/>
    </w:p>
    <w:p w:rsidR="000A1E27" w:rsidRPr="0088017A" w:rsidRDefault="000A1E27" w:rsidP="00161A7E">
      <w:pPr>
        <w:pStyle w:val="Clause"/>
        <w:keepNext/>
      </w:pPr>
      <w:r w:rsidRPr="0088017A">
        <w:t xml:space="preserve">The City has standardized on a specific vendor for the supply and delivery of </w:t>
      </w:r>
      <w:r w:rsidR="00C95919" w:rsidRPr="0088017A">
        <w:t>gas detection systems</w:t>
      </w:r>
      <w:r w:rsidRPr="0088017A">
        <w:t xml:space="preserve">.  The </w:t>
      </w:r>
      <w:r w:rsidR="00AB4E0C" w:rsidRPr="0088017A">
        <w:t>S</w:t>
      </w:r>
      <w:r w:rsidRPr="0088017A">
        <w:t>tandardiz</w:t>
      </w:r>
      <w:r w:rsidR="00AB4E0C" w:rsidRPr="0088017A">
        <w:t>ation</w:t>
      </w:r>
      <w:r w:rsidRPr="0088017A">
        <w:t xml:space="preserve"> </w:t>
      </w:r>
      <w:r w:rsidR="00AB4E0C" w:rsidRPr="0088017A">
        <w:t>V</w:t>
      </w:r>
      <w:r w:rsidRPr="0088017A">
        <w:t>endor was selected via RFP 123-2014 and was awarded to Mine Safety Appliances Company, LLC</w:t>
      </w:r>
      <w:r w:rsidR="007C1368" w:rsidRPr="0088017A">
        <w:t xml:space="preserve"> (MSA)</w:t>
      </w:r>
      <w:r w:rsidR="008663C8" w:rsidRPr="0088017A">
        <w:t xml:space="preserve"> c/o CB Engineering Ltd.</w:t>
      </w:r>
    </w:p>
    <w:p w:rsidR="000A1E27" w:rsidRPr="0088017A" w:rsidRDefault="000A1E27" w:rsidP="00311FC1">
      <w:pPr>
        <w:pStyle w:val="ClauseList"/>
      </w:pPr>
      <w:r w:rsidRPr="0088017A">
        <w:t>Copies of the tender documents are available from City of Winnipeg Material Management’s website.</w:t>
      </w:r>
    </w:p>
    <w:p w:rsidR="000A1E27" w:rsidRPr="0088017A" w:rsidRDefault="008F71B2" w:rsidP="00311FC1">
      <w:pPr>
        <w:pStyle w:val="Clause"/>
      </w:pPr>
      <w:r w:rsidRPr="0088017A">
        <w:t>Goods</w:t>
      </w:r>
      <w:r w:rsidR="000A1E27" w:rsidRPr="0088017A">
        <w:t xml:space="preserve"> to be procured via this standardization agreement include but </w:t>
      </w:r>
      <w:r w:rsidRPr="0088017A">
        <w:t>are</w:t>
      </w:r>
      <w:r w:rsidR="000A1E27" w:rsidRPr="0088017A">
        <w:t xml:space="preserve"> not limited to:</w:t>
      </w:r>
    </w:p>
    <w:p w:rsidR="000A1E27" w:rsidRPr="0088017A" w:rsidRDefault="000A1E27" w:rsidP="00311FC1">
      <w:pPr>
        <w:pStyle w:val="ClauseList"/>
      </w:pPr>
      <w:r w:rsidRPr="0088017A">
        <w:t>Gas detection sensors</w:t>
      </w:r>
      <w:r w:rsidR="000B3B6B" w:rsidRPr="0088017A">
        <w:t>;</w:t>
      </w:r>
    </w:p>
    <w:p w:rsidR="000A1E27" w:rsidRPr="0088017A" w:rsidRDefault="000A1E27" w:rsidP="00311FC1">
      <w:pPr>
        <w:pStyle w:val="ClauseList"/>
      </w:pPr>
      <w:r w:rsidRPr="0088017A">
        <w:t>Gas detection transmitters</w:t>
      </w:r>
      <w:r w:rsidR="000B3B6B" w:rsidRPr="0088017A">
        <w:t>;</w:t>
      </w:r>
    </w:p>
    <w:p w:rsidR="000A1E27" w:rsidRPr="0088017A" w:rsidRDefault="000A1E27" w:rsidP="00311FC1">
      <w:pPr>
        <w:pStyle w:val="ClauseList"/>
      </w:pPr>
      <w:r w:rsidRPr="0088017A">
        <w:t>Gas detection controllers</w:t>
      </w:r>
      <w:r w:rsidR="000B3B6B" w:rsidRPr="0088017A">
        <w:t>;</w:t>
      </w:r>
    </w:p>
    <w:p w:rsidR="000A1E27" w:rsidRPr="0088017A" w:rsidRDefault="000B3B6B" w:rsidP="00311FC1">
      <w:pPr>
        <w:pStyle w:val="ClauseList"/>
      </w:pPr>
      <w:r w:rsidRPr="0088017A">
        <w:t xml:space="preserve">Gas detection </w:t>
      </w:r>
      <w:r w:rsidR="00161A7E" w:rsidRPr="0088017A">
        <w:t xml:space="preserve">sensor </w:t>
      </w:r>
      <w:r w:rsidRPr="0088017A">
        <w:t>consumables;</w:t>
      </w:r>
      <w:r w:rsidR="00161A7E" w:rsidRPr="0088017A">
        <w:t xml:space="preserve"> and</w:t>
      </w:r>
    </w:p>
    <w:p w:rsidR="000B3B6B" w:rsidRPr="0088017A" w:rsidRDefault="000B3B6B" w:rsidP="00311FC1">
      <w:pPr>
        <w:pStyle w:val="ClauseList"/>
      </w:pPr>
      <w:r w:rsidRPr="0088017A">
        <w:t>Associated accessories.</w:t>
      </w:r>
    </w:p>
    <w:p w:rsidR="00E65C54" w:rsidRPr="0088017A" w:rsidRDefault="00E65C54" w:rsidP="00E65C54">
      <w:pPr>
        <w:pStyle w:val="Instructions"/>
      </w:pPr>
      <w:r w:rsidRPr="0088017A">
        <w:t>Ensure that the appropriate specifications are provided to fully detail the equipment that the vendor needs to supply. Do not assume that the vendor understands the project requirements.</w:t>
      </w:r>
    </w:p>
    <w:p w:rsidR="005F63BD" w:rsidRPr="0088017A" w:rsidRDefault="005F63BD" w:rsidP="00311FC1">
      <w:pPr>
        <w:pStyle w:val="Clause"/>
      </w:pPr>
      <w:r w:rsidRPr="0088017A">
        <w:t>The following model series shall be utilized unless otherwise indicated in the Specifications, Drawings or otherwise approved by the Contract Administrator:</w:t>
      </w:r>
    </w:p>
    <w:p w:rsidR="005F63BD" w:rsidRPr="0088017A" w:rsidRDefault="005F63BD" w:rsidP="00311FC1">
      <w:pPr>
        <w:pStyle w:val="ClauseList"/>
      </w:pPr>
      <w:proofErr w:type="spellStart"/>
      <w:r w:rsidRPr="0088017A">
        <w:t>UltimaX</w:t>
      </w:r>
      <w:proofErr w:type="spellEnd"/>
      <w:r w:rsidRPr="0088017A">
        <w:t xml:space="preserve"> gas detection systems.</w:t>
      </w:r>
    </w:p>
    <w:p w:rsidR="005F63BD" w:rsidRPr="0088017A" w:rsidRDefault="005F63BD" w:rsidP="00311FC1">
      <w:pPr>
        <w:pStyle w:val="ClauseList"/>
      </w:pPr>
      <w:proofErr w:type="spellStart"/>
      <w:r w:rsidRPr="0088017A">
        <w:t>GasGard</w:t>
      </w:r>
      <w:proofErr w:type="spellEnd"/>
      <w:r w:rsidRPr="0088017A">
        <w:t xml:space="preserve"> XL controllers.</w:t>
      </w:r>
    </w:p>
    <w:p w:rsidR="00227676" w:rsidRPr="0088017A" w:rsidRDefault="00227676" w:rsidP="00227676">
      <w:pPr>
        <w:pStyle w:val="Clause"/>
      </w:pPr>
      <w:r w:rsidRPr="0088017A">
        <w:t>Field setup and commissioning:</w:t>
      </w:r>
    </w:p>
    <w:p w:rsidR="00456498" w:rsidRPr="0088017A" w:rsidRDefault="00456498" w:rsidP="00456498">
      <w:pPr>
        <w:pStyle w:val="SubClause"/>
      </w:pPr>
      <w:r w:rsidRPr="0088017A">
        <w:t>Field setup and commissioning of the gas detection systems may be performed by MSA under the Standardization Agreement.  Coordinate with MSA as required to understand the capabilities and limitations of MSA’s field setup and commissioning services and provide all remaining services to provide a complete commissioning and start-up.</w:t>
      </w:r>
    </w:p>
    <w:p w:rsidR="006349F6" w:rsidRPr="0088017A" w:rsidRDefault="006349F6" w:rsidP="006349F6">
      <w:pPr>
        <w:pStyle w:val="Instructions"/>
      </w:pPr>
      <w:r w:rsidRPr="0088017A">
        <w:t>Ensure that complete start-up and commissioning requirements are identified in the specifications.</w:t>
      </w:r>
    </w:p>
    <w:p w:rsidR="00227676" w:rsidRPr="0088017A" w:rsidRDefault="00456498" w:rsidP="00227676">
      <w:pPr>
        <w:pStyle w:val="SubClause"/>
      </w:pPr>
      <w:r w:rsidRPr="0088017A">
        <w:t>The Contractor may provide</w:t>
      </w:r>
      <w:r w:rsidR="00227676" w:rsidRPr="0088017A">
        <w:t xml:space="preserve"> field setup and commissioning </w:t>
      </w:r>
      <w:r w:rsidRPr="0088017A">
        <w:t>services for the gas detection system via alternate means, provided that this does not result in a reduction of the services or quality of work</w:t>
      </w:r>
      <w:r w:rsidR="00227676" w:rsidRPr="0088017A">
        <w:t xml:space="preserve">. </w:t>
      </w:r>
    </w:p>
    <w:p w:rsidR="000A1E27" w:rsidRPr="0088017A" w:rsidRDefault="000A1E27" w:rsidP="00456498">
      <w:pPr>
        <w:pStyle w:val="Clause"/>
        <w:keepNext/>
      </w:pPr>
      <w:r w:rsidRPr="0088017A">
        <w:t>Primary contact for all quotations and purchases:</w:t>
      </w:r>
    </w:p>
    <w:p w:rsidR="000A1E27" w:rsidRPr="0088017A" w:rsidRDefault="000A1E27" w:rsidP="00456498">
      <w:pPr>
        <w:keepNext/>
        <w:ind w:left="1440"/>
      </w:pPr>
    </w:p>
    <w:p w:rsidR="000B3B6B" w:rsidRPr="0088017A" w:rsidRDefault="000B3B6B" w:rsidP="00456498">
      <w:pPr>
        <w:keepNext/>
        <w:ind w:left="1440"/>
      </w:pPr>
      <w:r w:rsidRPr="0088017A">
        <w:t>Mr. Alan Thomson</w:t>
      </w:r>
    </w:p>
    <w:p w:rsidR="000B3B6B" w:rsidRPr="0088017A" w:rsidRDefault="000B3B6B" w:rsidP="00456498">
      <w:pPr>
        <w:keepNext/>
        <w:ind w:left="1440"/>
      </w:pPr>
      <w:r w:rsidRPr="0088017A">
        <w:t>Account Manager</w:t>
      </w:r>
    </w:p>
    <w:p w:rsidR="000B3B6B" w:rsidRPr="0088017A" w:rsidRDefault="000B3B6B" w:rsidP="00456498">
      <w:pPr>
        <w:keepNext/>
        <w:ind w:left="1440"/>
      </w:pPr>
      <w:r w:rsidRPr="0088017A">
        <w:t>5040 12A Street SE</w:t>
      </w:r>
    </w:p>
    <w:p w:rsidR="000B3B6B" w:rsidRPr="0088017A" w:rsidRDefault="000B3B6B" w:rsidP="00456498">
      <w:pPr>
        <w:keepNext/>
        <w:ind w:left="1440"/>
      </w:pPr>
      <w:r w:rsidRPr="0088017A">
        <w:t>Calgary, AB</w:t>
      </w:r>
    </w:p>
    <w:p w:rsidR="000B3B6B" w:rsidRPr="0088017A" w:rsidRDefault="000B3B6B" w:rsidP="00456498">
      <w:pPr>
        <w:keepNext/>
        <w:ind w:left="1440"/>
      </w:pPr>
      <w:r w:rsidRPr="0088017A">
        <w:t>T2G 5K9</w:t>
      </w:r>
    </w:p>
    <w:p w:rsidR="000B3B6B" w:rsidRPr="0088017A" w:rsidRDefault="008663C8" w:rsidP="00456498">
      <w:pPr>
        <w:keepNext/>
        <w:ind w:left="1440"/>
      </w:pPr>
      <w:r w:rsidRPr="0088017A">
        <w:t>Telephone:</w:t>
      </w:r>
      <w:r w:rsidRPr="0088017A">
        <w:tab/>
      </w:r>
      <w:r w:rsidR="000B3B6B" w:rsidRPr="0088017A">
        <w:t>1-800-992-2364</w:t>
      </w:r>
    </w:p>
    <w:p w:rsidR="008663C8" w:rsidRPr="0088017A" w:rsidRDefault="008663C8" w:rsidP="00456498">
      <w:pPr>
        <w:keepNext/>
        <w:ind w:left="1440"/>
      </w:pPr>
      <w:r w:rsidRPr="0088017A">
        <w:t>Mobile:</w:t>
      </w:r>
      <w:r w:rsidRPr="0088017A">
        <w:tab/>
      </w:r>
      <w:r w:rsidRPr="0088017A">
        <w:tab/>
        <w:t>780-719-7551</w:t>
      </w:r>
    </w:p>
    <w:p w:rsidR="000B3B6B" w:rsidRPr="0088017A" w:rsidRDefault="008663C8" w:rsidP="000B3B6B">
      <w:pPr>
        <w:ind w:left="1440"/>
      </w:pPr>
      <w:r w:rsidRPr="0088017A">
        <w:t>E-mail:</w:t>
      </w:r>
      <w:r w:rsidRPr="0088017A">
        <w:tab/>
      </w:r>
      <w:r w:rsidRPr="0088017A">
        <w:tab/>
      </w:r>
      <w:r w:rsidR="000B3B6B" w:rsidRPr="0088017A">
        <w:t xml:space="preserve">athomson@cbeng.com </w:t>
      </w:r>
    </w:p>
    <w:p w:rsidR="000A1E27" w:rsidRPr="0088017A" w:rsidRDefault="000A1E27" w:rsidP="00311FC1">
      <w:pPr>
        <w:pStyle w:val="Clause"/>
      </w:pPr>
      <w:r w:rsidRPr="0088017A">
        <w:t>Quotations and orders:</w:t>
      </w:r>
    </w:p>
    <w:p w:rsidR="000A1E27" w:rsidRPr="0088017A" w:rsidRDefault="000A1E27" w:rsidP="00311FC1">
      <w:pPr>
        <w:pStyle w:val="SubClause"/>
      </w:pPr>
      <w:r w:rsidRPr="0088017A">
        <w:t>Reference the following in all quotation requests and purchase orders:</w:t>
      </w:r>
    </w:p>
    <w:p w:rsidR="000A1E27" w:rsidRPr="0088017A" w:rsidRDefault="000A1E27" w:rsidP="000A1E27">
      <w:pPr>
        <w:pStyle w:val="SubClauseList"/>
      </w:pPr>
      <w:r w:rsidRPr="0088017A">
        <w:t>This Bid Opportunity number; and</w:t>
      </w:r>
    </w:p>
    <w:p w:rsidR="000A1E27" w:rsidRPr="0088017A" w:rsidRDefault="000A1E27" w:rsidP="000A1E27">
      <w:pPr>
        <w:pStyle w:val="SubClauseList"/>
      </w:pPr>
      <w:r w:rsidRPr="0088017A">
        <w:t xml:space="preserve">The standardization agreement number </w:t>
      </w:r>
      <w:r w:rsidR="00FC1524">
        <w:t xml:space="preserve">RFP </w:t>
      </w:r>
      <w:r w:rsidR="00227676" w:rsidRPr="0088017A">
        <w:t>123</w:t>
      </w:r>
      <w:r w:rsidRPr="0088017A">
        <w:t>-2014.</w:t>
      </w:r>
    </w:p>
    <w:p w:rsidR="000B3B6B" w:rsidRPr="0088017A" w:rsidRDefault="00C143B4" w:rsidP="00311FC1">
      <w:pPr>
        <w:pStyle w:val="CLAUSEHEADING"/>
      </w:pPr>
      <w:bookmarkStart w:id="95" w:name="_Ref436401065"/>
      <w:bookmarkStart w:id="96" w:name="_Toc443923990"/>
      <w:r w:rsidRPr="0088017A">
        <w:t xml:space="preserve">Standardized </w:t>
      </w:r>
      <w:r w:rsidR="000B3B6B" w:rsidRPr="0088017A">
        <w:t>Instrumentation</w:t>
      </w:r>
      <w:bookmarkEnd w:id="95"/>
      <w:bookmarkEnd w:id="96"/>
    </w:p>
    <w:p w:rsidR="000B3B6B" w:rsidRPr="0088017A" w:rsidRDefault="000B3B6B" w:rsidP="007C1368">
      <w:pPr>
        <w:pStyle w:val="Clause"/>
      </w:pPr>
      <w:r w:rsidRPr="0088017A">
        <w:t xml:space="preserve">The City has standardized on a specific vendor for the supply and delivery of </w:t>
      </w:r>
      <w:r w:rsidR="00456498" w:rsidRPr="0088017A">
        <w:t>specific instrumentation</w:t>
      </w:r>
      <w:r w:rsidRPr="0088017A">
        <w:t xml:space="preserve">.  The </w:t>
      </w:r>
      <w:r w:rsidR="00AB4E0C" w:rsidRPr="0088017A">
        <w:t>S</w:t>
      </w:r>
      <w:r w:rsidRPr="0088017A">
        <w:t>tandardiz</w:t>
      </w:r>
      <w:r w:rsidR="00AB4E0C" w:rsidRPr="0088017A">
        <w:t>ation</w:t>
      </w:r>
      <w:r w:rsidRPr="0088017A">
        <w:t xml:space="preserve"> </w:t>
      </w:r>
      <w:r w:rsidR="00AB4E0C" w:rsidRPr="0088017A">
        <w:t>V</w:t>
      </w:r>
      <w:r w:rsidRPr="0088017A">
        <w:t xml:space="preserve">endor was selected via RFP </w:t>
      </w:r>
      <w:r w:rsidR="00456498" w:rsidRPr="0088017A">
        <w:t>449</w:t>
      </w:r>
      <w:r w:rsidRPr="0088017A">
        <w:t xml:space="preserve">-2014 and was awarded to </w:t>
      </w:r>
      <w:r w:rsidR="007C1368" w:rsidRPr="0088017A">
        <w:t>Trans-West Supply Company Inc. (Trans-West)</w:t>
      </w:r>
      <w:r w:rsidRPr="0088017A">
        <w:t>.</w:t>
      </w:r>
    </w:p>
    <w:p w:rsidR="000B3B6B" w:rsidRPr="0088017A" w:rsidRDefault="000B3B6B" w:rsidP="00311FC1">
      <w:pPr>
        <w:pStyle w:val="ClauseList"/>
      </w:pPr>
      <w:r w:rsidRPr="0088017A">
        <w:t>Copies of the tender documents are available from City of Winnipeg Material Management’s website.</w:t>
      </w:r>
    </w:p>
    <w:p w:rsidR="000B3B6B" w:rsidRPr="0088017A" w:rsidRDefault="008F71B2" w:rsidP="00311FC1">
      <w:pPr>
        <w:pStyle w:val="Clause"/>
      </w:pPr>
      <w:r w:rsidRPr="0088017A">
        <w:t xml:space="preserve">Goods </w:t>
      </w:r>
      <w:r w:rsidR="000B3B6B" w:rsidRPr="0088017A">
        <w:t>to be procured via this standardization agreement include</w:t>
      </w:r>
      <w:r w:rsidRPr="0088017A">
        <w:t xml:space="preserve"> </w:t>
      </w:r>
      <w:r w:rsidR="000B3B6B" w:rsidRPr="0088017A">
        <w:t xml:space="preserve"> but </w:t>
      </w:r>
      <w:r w:rsidRPr="0088017A">
        <w:t>are</w:t>
      </w:r>
      <w:r w:rsidR="000B3B6B" w:rsidRPr="0088017A">
        <w:t xml:space="preserve"> not limited to:</w:t>
      </w:r>
    </w:p>
    <w:p w:rsidR="000B3B6B" w:rsidRPr="0088017A" w:rsidRDefault="000B3B6B" w:rsidP="00311FC1">
      <w:pPr>
        <w:pStyle w:val="ClauseList"/>
      </w:pPr>
      <w:r w:rsidRPr="0088017A">
        <w:t>Flowmeters – Electromagnetic;</w:t>
      </w:r>
    </w:p>
    <w:p w:rsidR="000B3B6B" w:rsidRPr="0088017A" w:rsidRDefault="000B3B6B" w:rsidP="00311FC1">
      <w:pPr>
        <w:pStyle w:val="ClauseList"/>
      </w:pPr>
      <w:r w:rsidRPr="0088017A">
        <w:t>Flowmeters – Differential pressure based;</w:t>
      </w:r>
    </w:p>
    <w:p w:rsidR="000B3B6B" w:rsidRPr="0088017A" w:rsidRDefault="000B3B6B" w:rsidP="00311FC1">
      <w:pPr>
        <w:pStyle w:val="ClauseList"/>
      </w:pPr>
      <w:r w:rsidRPr="0088017A">
        <w:t>Pressure Transmitters including manifold assemblies;</w:t>
      </w:r>
    </w:p>
    <w:p w:rsidR="000B3B6B" w:rsidRPr="0088017A" w:rsidRDefault="000B3B6B" w:rsidP="00311FC1">
      <w:pPr>
        <w:pStyle w:val="ClauseList"/>
      </w:pPr>
      <w:r w:rsidRPr="0088017A">
        <w:t xml:space="preserve">Temperature Transmitters including temperature elements and </w:t>
      </w:r>
      <w:proofErr w:type="spellStart"/>
      <w:r w:rsidRPr="0088017A">
        <w:t>thermowells</w:t>
      </w:r>
      <w:proofErr w:type="spellEnd"/>
      <w:r w:rsidRPr="0088017A">
        <w:t>;</w:t>
      </w:r>
    </w:p>
    <w:p w:rsidR="000B3B6B" w:rsidRPr="0088017A" w:rsidRDefault="000B3B6B" w:rsidP="00311FC1">
      <w:pPr>
        <w:pStyle w:val="ClauseList"/>
      </w:pPr>
      <w:r w:rsidRPr="0088017A">
        <w:t xml:space="preserve">Ultrasonic Level Transmitters; and </w:t>
      </w:r>
    </w:p>
    <w:p w:rsidR="000B3B6B" w:rsidRPr="0088017A" w:rsidRDefault="000B3B6B" w:rsidP="00311FC1">
      <w:pPr>
        <w:pStyle w:val="ClauseList"/>
      </w:pPr>
      <w:r w:rsidRPr="0088017A">
        <w:t>Associated accessories.</w:t>
      </w:r>
    </w:p>
    <w:p w:rsidR="00E65C54" w:rsidRPr="0088017A" w:rsidRDefault="00E65C54" w:rsidP="00E65C54">
      <w:pPr>
        <w:pStyle w:val="Instructions"/>
      </w:pPr>
      <w:r w:rsidRPr="0088017A">
        <w:t>Ensure that the appropriate specifications are provided to fully detail the equipment that the vendor needs to supply. Do not assume that the vendor understands the project requirements.</w:t>
      </w:r>
    </w:p>
    <w:p w:rsidR="000B3B6B" w:rsidRPr="0088017A" w:rsidRDefault="000B3B6B" w:rsidP="00311FC1">
      <w:pPr>
        <w:pStyle w:val="Clause"/>
      </w:pPr>
      <w:r w:rsidRPr="0088017A">
        <w:t>For clarity, this standardization agreement does not include:</w:t>
      </w:r>
    </w:p>
    <w:p w:rsidR="000B3B6B" w:rsidRPr="0088017A" w:rsidRDefault="000B3B6B" w:rsidP="00311FC1">
      <w:pPr>
        <w:pStyle w:val="ClauseList"/>
      </w:pPr>
      <w:r w:rsidRPr="0088017A">
        <w:t>Flowmeters - Coriolis;</w:t>
      </w:r>
    </w:p>
    <w:p w:rsidR="000B3B6B" w:rsidRPr="0088017A" w:rsidRDefault="000B3B6B" w:rsidP="00311FC1">
      <w:pPr>
        <w:pStyle w:val="ClauseList"/>
      </w:pPr>
      <w:r w:rsidRPr="0088017A">
        <w:t>Flowmeters – Thermal Dispersion;</w:t>
      </w:r>
    </w:p>
    <w:p w:rsidR="000B3B6B" w:rsidRPr="0088017A" w:rsidRDefault="000B3B6B" w:rsidP="00311FC1">
      <w:pPr>
        <w:pStyle w:val="ClauseList"/>
      </w:pPr>
      <w:r w:rsidRPr="0088017A">
        <w:t>Flowmeters – Ultrasonic;</w:t>
      </w:r>
    </w:p>
    <w:p w:rsidR="000B3B6B" w:rsidRPr="0088017A" w:rsidRDefault="000B3B6B" w:rsidP="00311FC1">
      <w:pPr>
        <w:pStyle w:val="ClauseList"/>
      </w:pPr>
      <w:r w:rsidRPr="0088017A">
        <w:t>Flow switches (i.e. mechanical);</w:t>
      </w:r>
    </w:p>
    <w:p w:rsidR="000B3B6B" w:rsidRPr="0088017A" w:rsidRDefault="000B3B6B" w:rsidP="00311FC1">
      <w:pPr>
        <w:pStyle w:val="ClauseList"/>
      </w:pPr>
      <w:r w:rsidRPr="0088017A">
        <w:t>Pressure switches;</w:t>
      </w:r>
    </w:p>
    <w:p w:rsidR="000B3B6B" w:rsidRPr="0088017A" w:rsidRDefault="000B3B6B" w:rsidP="00311FC1">
      <w:pPr>
        <w:pStyle w:val="ClauseList"/>
      </w:pPr>
      <w:r w:rsidRPr="0088017A">
        <w:t>Temperature switches;</w:t>
      </w:r>
    </w:p>
    <w:p w:rsidR="000B3B6B" w:rsidRPr="0088017A" w:rsidRDefault="000B3B6B" w:rsidP="00311FC1">
      <w:pPr>
        <w:pStyle w:val="ClauseList"/>
      </w:pPr>
      <w:r w:rsidRPr="0088017A">
        <w:t>Radar Level Transmitters; and</w:t>
      </w:r>
    </w:p>
    <w:p w:rsidR="000B3B6B" w:rsidRPr="0088017A" w:rsidRDefault="000B3B6B" w:rsidP="00311FC1">
      <w:pPr>
        <w:pStyle w:val="ClauseList"/>
      </w:pPr>
      <w:r w:rsidRPr="0088017A">
        <w:t>Level Switches (non-ultrasonic based).</w:t>
      </w:r>
    </w:p>
    <w:p w:rsidR="005F63BD" w:rsidRPr="0088017A" w:rsidRDefault="005F63BD" w:rsidP="00311FC1">
      <w:pPr>
        <w:pStyle w:val="Clause"/>
      </w:pPr>
      <w:r w:rsidRPr="0088017A">
        <w:t>The following model series shall be utilized unless otherwise indicated in the Specifications, Drawings or otherwise approved by the Contract Administrator:</w:t>
      </w:r>
    </w:p>
    <w:p w:rsidR="009554A0" w:rsidRPr="0088017A" w:rsidRDefault="009554A0" w:rsidP="00311FC1">
      <w:pPr>
        <w:pStyle w:val="ClauseList"/>
      </w:pPr>
      <w:r w:rsidRPr="0088017A">
        <w:t xml:space="preserve">Magnetic Flowmeter </w:t>
      </w:r>
      <w:proofErr w:type="spellStart"/>
      <w:r w:rsidRPr="0088017A">
        <w:t>Flowtubes</w:t>
      </w:r>
      <w:proofErr w:type="spellEnd"/>
      <w:r w:rsidRPr="0088017A">
        <w:t xml:space="preserve"> – SITRANS F M MAG 5100W series.</w:t>
      </w:r>
    </w:p>
    <w:p w:rsidR="009554A0" w:rsidRPr="0088017A" w:rsidRDefault="009554A0" w:rsidP="009554A0">
      <w:pPr>
        <w:pStyle w:val="ClauseSubList"/>
      </w:pPr>
      <w:r w:rsidRPr="0088017A">
        <w:t>SITRANS F M MAG 3100W series may be utilized where specified.</w:t>
      </w:r>
    </w:p>
    <w:p w:rsidR="009554A0" w:rsidRPr="0088017A" w:rsidRDefault="009554A0" w:rsidP="00311FC1">
      <w:pPr>
        <w:pStyle w:val="ClauseList"/>
      </w:pPr>
      <w:r w:rsidRPr="0088017A">
        <w:t>Magnetic Flowmeter Transmitters - SITRANS F M MAG 6000 series.</w:t>
      </w:r>
    </w:p>
    <w:p w:rsidR="005F63BD" w:rsidRPr="0088017A" w:rsidRDefault="009554A0" w:rsidP="00311FC1">
      <w:pPr>
        <w:pStyle w:val="ClauseList"/>
      </w:pPr>
      <w:r w:rsidRPr="0088017A">
        <w:t>Pressure Transmitters - SITRANS P DS III</w:t>
      </w:r>
      <w:r w:rsidR="005F63BD" w:rsidRPr="0088017A">
        <w:t>.</w:t>
      </w:r>
    </w:p>
    <w:p w:rsidR="009554A0" w:rsidRPr="0088017A" w:rsidRDefault="009554A0" w:rsidP="00311FC1">
      <w:pPr>
        <w:pStyle w:val="ClauseList"/>
      </w:pPr>
      <w:r w:rsidRPr="0088017A">
        <w:t>Temperature Transmitters</w:t>
      </w:r>
    </w:p>
    <w:p w:rsidR="009554A0" w:rsidRPr="0088017A" w:rsidRDefault="009554A0" w:rsidP="009554A0">
      <w:pPr>
        <w:pStyle w:val="ClauseSubList"/>
      </w:pPr>
      <w:r w:rsidRPr="0088017A">
        <w:t>SITRANS TF</w:t>
      </w:r>
      <w:r w:rsidR="00F139A6" w:rsidRPr="0088017A">
        <w:t xml:space="preserve"> (Process Applications)</w:t>
      </w:r>
    </w:p>
    <w:p w:rsidR="009554A0" w:rsidRPr="0088017A" w:rsidRDefault="009554A0" w:rsidP="009554A0">
      <w:pPr>
        <w:pStyle w:val="ClauseSubList"/>
      </w:pPr>
      <w:r w:rsidRPr="0088017A">
        <w:t>SITRANS TH400</w:t>
      </w:r>
      <w:r w:rsidR="00F139A6" w:rsidRPr="0088017A">
        <w:t xml:space="preserve"> (HVAC applications)</w:t>
      </w:r>
    </w:p>
    <w:p w:rsidR="00F139A6" w:rsidRPr="0088017A" w:rsidRDefault="00F139A6" w:rsidP="00311FC1">
      <w:pPr>
        <w:pStyle w:val="ClauseList"/>
      </w:pPr>
      <w:r w:rsidRPr="0088017A">
        <w:t>Ultrasonic Level Transmitters</w:t>
      </w:r>
    </w:p>
    <w:p w:rsidR="00F139A6" w:rsidRPr="0088017A" w:rsidRDefault="00F139A6" w:rsidP="00F139A6">
      <w:pPr>
        <w:pStyle w:val="ClauseSubList"/>
      </w:pPr>
      <w:r w:rsidRPr="0088017A">
        <w:t>Integrated applications: SITRANS Probe LU</w:t>
      </w:r>
    </w:p>
    <w:p w:rsidR="00F139A6" w:rsidRPr="0088017A" w:rsidRDefault="00F139A6" w:rsidP="00F139A6">
      <w:pPr>
        <w:pStyle w:val="ClauseSubList"/>
      </w:pPr>
      <w:r w:rsidRPr="0088017A">
        <w:t xml:space="preserve">Separate controller applications: </w:t>
      </w:r>
      <w:proofErr w:type="spellStart"/>
      <w:r w:rsidRPr="0088017A">
        <w:t>Multiranger</w:t>
      </w:r>
      <w:proofErr w:type="spellEnd"/>
      <w:r w:rsidRPr="0088017A">
        <w:t xml:space="preserve"> 100/200 with </w:t>
      </w:r>
      <w:proofErr w:type="spellStart"/>
      <w:r w:rsidRPr="0088017A">
        <w:t>EchoMax</w:t>
      </w:r>
      <w:proofErr w:type="spellEnd"/>
      <w:r w:rsidRPr="0088017A">
        <w:t xml:space="preserve"> transducers.</w:t>
      </w:r>
    </w:p>
    <w:p w:rsidR="00456498" w:rsidRPr="0088017A" w:rsidRDefault="00456498" w:rsidP="00456498">
      <w:pPr>
        <w:pStyle w:val="Clause"/>
      </w:pPr>
      <w:r w:rsidRPr="0088017A">
        <w:t>Field setup and commissioning:</w:t>
      </w:r>
    </w:p>
    <w:p w:rsidR="00456498" w:rsidRPr="0088017A" w:rsidRDefault="00456498" w:rsidP="00456498">
      <w:pPr>
        <w:pStyle w:val="SubClause"/>
      </w:pPr>
      <w:r w:rsidRPr="0088017A">
        <w:t>Field setup and commissioning of the gas detection systems may be performed by Trans-West under the Standardization Agreement.  Coordinate with Trans-West as required to understand the capabilities and limitations of Trans-West’s field setup and commissioning services and provide all remaining services to provide a complete commissioning and start-up.</w:t>
      </w:r>
    </w:p>
    <w:p w:rsidR="006349F6" w:rsidRPr="0088017A" w:rsidRDefault="006349F6" w:rsidP="006349F6">
      <w:pPr>
        <w:pStyle w:val="Instructions"/>
      </w:pPr>
      <w:r w:rsidRPr="0088017A">
        <w:t>Ensure that complete start-up and commissioning requirements are identified in the specifications.</w:t>
      </w:r>
    </w:p>
    <w:p w:rsidR="00456498" w:rsidRPr="0088017A" w:rsidRDefault="00456498" w:rsidP="00456498">
      <w:pPr>
        <w:pStyle w:val="SubClause"/>
      </w:pPr>
      <w:r w:rsidRPr="0088017A">
        <w:t xml:space="preserve">The Contractor may provide field setup and commissioning services for the instrumentation via alternate means, provided that this does not result in a reduction of the services or quality of work. </w:t>
      </w:r>
    </w:p>
    <w:p w:rsidR="000B3B6B" w:rsidRPr="0088017A" w:rsidRDefault="000B3B6B" w:rsidP="00311FC1">
      <w:pPr>
        <w:pStyle w:val="Clause"/>
      </w:pPr>
      <w:r w:rsidRPr="0088017A">
        <w:t>Primary contact for all quotations and purchases:</w:t>
      </w:r>
    </w:p>
    <w:p w:rsidR="000B3B6B" w:rsidRPr="0088017A" w:rsidRDefault="000B3B6B" w:rsidP="000B3B6B">
      <w:pPr>
        <w:ind w:left="1440"/>
      </w:pPr>
    </w:p>
    <w:p w:rsidR="000B3B6B" w:rsidRPr="0088017A" w:rsidRDefault="000B3B6B" w:rsidP="000B3B6B">
      <w:pPr>
        <w:ind w:left="1440"/>
      </w:pPr>
      <w:r w:rsidRPr="0088017A">
        <w:t xml:space="preserve">Greg </w:t>
      </w:r>
      <w:proofErr w:type="spellStart"/>
      <w:r w:rsidRPr="0088017A">
        <w:t>Troilo</w:t>
      </w:r>
      <w:proofErr w:type="spellEnd"/>
    </w:p>
    <w:p w:rsidR="000B3B6B" w:rsidRPr="0088017A" w:rsidRDefault="000B3B6B" w:rsidP="000B3B6B">
      <w:pPr>
        <w:ind w:left="1440"/>
      </w:pPr>
      <w:r w:rsidRPr="0088017A">
        <w:t>President</w:t>
      </w:r>
    </w:p>
    <w:p w:rsidR="000B3B6B" w:rsidRPr="0088017A" w:rsidRDefault="000B3B6B" w:rsidP="000B3B6B">
      <w:pPr>
        <w:ind w:left="1440"/>
      </w:pPr>
      <w:r w:rsidRPr="0088017A">
        <w:t>126 Bannister Road</w:t>
      </w:r>
    </w:p>
    <w:p w:rsidR="000B3B6B" w:rsidRPr="0088017A" w:rsidRDefault="000B3B6B" w:rsidP="000B3B6B">
      <w:pPr>
        <w:ind w:left="1440"/>
      </w:pPr>
      <w:r w:rsidRPr="0088017A">
        <w:t>Winnipeg, MB, R3R 0S3</w:t>
      </w:r>
    </w:p>
    <w:p w:rsidR="008663C8" w:rsidRPr="0088017A" w:rsidRDefault="008663C8" w:rsidP="008663C8">
      <w:pPr>
        <w:ind w:left="1440"/>
      </w:pPr>
      <w:r w:rsidRPr="0088017A">
        <w:t>Telephone:</w:t>
      </w:r>
      <w:r w:rsidRPr="0088017A">
        <w:tab/>
        <w:t>807-623-0909</w:t>
      </w:r>
    </w:p>
    <w:p w:rsidR="000B3B6B" w:rsidRPr="0088017A" w:rsidRDefault="008663C8" w:rsidP="000B3B6B">
      <w:pPr>
        <w:ind w:left="1440"/>
      </w:pPr>
      <w:r w:rsidRPr="0088017A">
        <w:t>E-mail:</w:t>
      </w:r>
      <w:r w:rsidRPr="0088017A">
        <w:tab/>
      </w:r>
      <w:r w:rsidRPr="0088017A">
        <w:tab/>
      </w:r>
      <w:r w:rsidR="000B3B6B" w:rsidRPr="0088017A">
        <w:t>gregt@transwest-mb.com</w:t>
      </w:r>
    </w:p>
    <w:p w:rsidR="000B3B6B" w:rsidRPr="0088017A" w:rsidRDefault="000B3B6B" w:rsidP="000B3B6B">
      <w:pPr>
        <w:ind w:left="1440"/>
      </w:pPr>
    </w:p>
    <w:p w:rsidR="000B3B6B" w:rsidRPr="0088017A" w:rsidRDefault="000B3B6B" w:rsidP="007C1368">
      <w:pPr>
        <w:pStyle w:val="Clause"/>
        <w:keepNext/>
      </w:pPr>
      <w:r w:rsidRPr="0088017A">
        <w:t>Quotations and orders:</w:t>
      </w:r>
    </w:p>
    <w:p w:rsidR="000B3B6B" w:rsidRPr="0088017A" w:rsidRDefault="000B3B6B" w:rsidP="00311FC1">
      <w:pPr>
        <w:pStyle w:val="SubClause"/>
      </w:pPr>
      <w:r w:rsidRPr="0088017A">
        <w:t>Reference the following in all quotation requests and purchase orders:</w:t>
      </w:r>
    </w:p>
    <w:p w:rsidR="000B3B6B" w:rsidRPr="0088017A" w:rsidRDefault="000B3B6B" w:rsidP="000B3B6B">
      <w:pPr>
        <w:pStyle w:val="SubClauseList"/>
      </w:pPr>
      <w:r w:rsidRPr="0088017A">
        <w:t>This Bid Opportunity number; and</w:t>
      </w:r>
    </w:p>
    <w:p w:rsidR="000B3B6B" w:rsidRPr="0088017A" w:rsidRDefault="000B3B6B" w:rsidP="000B3B6B">
      <w:pPr>
        <w:pStyle w:val="SubClauseList"/>
      </w:pPr>
      <w:r w:rsidRPr="0088017A">
        <w:t xml:space="preserve">The standardization agreement </w:t>
      </w:r>
      <w:bookmarkStart w:id="97" w:name="_GoBack"/>
      <w:r w:rsidRPr="0088017A">
        <w:t>number</w:t>
      </w:r>
      <w:bookmarkEnd w:id="97"/>
      <w:r w:rsidRPr="0088017A">
        <w:t xml:space="preserve"> </w:t>
      </w:r>
      <w:r w:rsidR="00FC1524">
        <w:t xml:space="preserve">RFP </w:t>
      </w:r>
      <w:r w:rsidR="00456498" w:rsidRPr="0088017A">
        <w:t>449</w:t>
      </w:r>
      <w:r w:rsidRPr="0088017A">
        <w:t>-2014.</w:t>
      </w:r>
    </w:p>
    <w:sectPr w:rsidR="000B3B6B" w:rsidRPr="0088017A" w:rsidSect="00400F4A">
      <w:headerReference w:type="default" r:id="rId20"/>
      <w:endnotePr>
        <w:numFmt w:val="upperLetter"/>
      </w:endnotePr>
      <w:pgSz w:w="12240" w:h="15840" w:code="1"/>
      <w:pgMar w:top="1440" w:right="1440" w:bottom="432" w:left="1440" w:header="432" w:footer="4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F98" w:rsidRDefault="00346F98">
      <w:pPr>
        <w:pStyle w:val="Footer"/>
      </w:pPr>
    </w:p>
  </w:endnote>
  <w:endnote w:type="continuationSeparator" w:id="0">
    <w:p w:rsidR="00346F98" w:rsidRDefault="0034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98" w:rsidRDefault="00346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98" w:rsidRDefault="00346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F98" w:rsidRDefault="00346F98">
      <w:r>
        <w:separator/>
      </w:r>
    </w:p>
  </w:footnote>
  <w:footnote w:type="continuationSeparator" w:id="0">
    <w:p w:rsidR="00346F98" w:rsidRDefault="00346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98" w:rsidRDefault="00346F98">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r>
  </w:p>
  <w:p w:rsidR="00346F98" w:rsidRDefault="00346F98">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Bid Submission</w:t>
    </w:r>
  </w:p>
  <w:p w:rsidR="00346F98" w:rsidRDefault="00346F98">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 xml:space="preserve">Page </w:t>
    </w:r>
    <w:r>
      <w:rPr>
        <w:sz w:val="16"/>
        <w:szCs w:val="20"/>
        <w:lang w:val="en-US"/>
      </w:rPr>
      <w:fldChar w:fldCharType="begin"/>
    </w:r>
    <w:r>
      <w:rPr>
        <w:sz w:val="16"/>
        <w:szCs w:val="20"/>
        <w:lang w:val="en-US"/>
      </w:rPr>
      <w:instrText xml:space="preserve"> PAGE </w:instrText>
    </w:r>
    <w:r>
      <w:rPr>
        <w:sz w:val="16"/>
        <w:szCs w:val="20"/>
        <w:lang w:val="en-US"/>
      </w:rPr>
      <w:fldChar w:fldCharType="separate"/>
    </w:r>
    <w:r>
      <w:rPr>
        <w:noProof/>
        <w:sz w:val="16"/>
        <w:szCs w:val="20"/>
        <w:lang w:val="en-US"/>
      </w:rPr>
      <w:t>2</w:t>
    </w:r>
    <w:r>
      <w:rPr>
        <w:sz w:val="16"/>
        <w:szCs w:val="20"/>
        <w:lang w:val="en-US"/>
      </w:rPr>
      <w:fldChar w:fldCharType="end"/>
    </w:r>
    <w:r>
      <w:rPr>
        <w:sz w:val="16"/>
        <w:szCs w:val="16"/>
      </w:rPr>
      <w:t xml:space="preserve"> of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1</w:t>
    </w:r>
    <w:r>
      <w:rPr>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98" w:rsidRDefault="00346F98" w:rsidP="002607DD">
    <w:pPr>
      <w:pStyle w:val="Header1"/>
    </w:pPr>
    <w:r w:rsidRPr="0011136F">
      <w:t>The City of Winnipeg</w:t>
    </w:r>
    <w:r w:rsidRPr="0011136F">
      <w:tab/>
    </w:r>
    <w:r>
      <w:t>Table of Contents</w:t>
    </w:r>
  </w:p>
  <w:p w:rsidR="00346F98" w:rsidRPr="0011136F" w:rsidRDefault="00346F98" w:rsidP="002607DD">
    <w:pPr>
      <w:pStyle w:val="Header1"/>
    </w:pPr>
    <w:r>
      <w:t xml:space="preserve">Bid </w:t>
    </w:r>
    <w:smartTag w:uri="urn:schemas-microsoft-com:office:smarttags" w:element="place">
      <w:r>
        <w:t>Opportunity</w:t>
      </w:r>
    </w:smartTag>
    <w:r>
      <w:t xml:space="preserve"> No. </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00A7422E">
      <w:t xml:space="preserve">^ </w:t>
    </w:r>
    <w:r w:rsidRPr="0011136F">
      <w:fldChar w:fldCharType="end"/>
    </w:r>
    <w:r>
      <w:tab/>
      <w:t xml:space="preserve">Page </w:t>
    </w:r>
    <w:r>
      <w:fldChar w:fldCharType="begin"/>
    </w:r>
    <w:r>
      <w:instrText xml:space="preserve"> PAGE </w:instrText>
    </w:r>
    <w:r>
      <w:fldChar w:fldCharType="separate"/>
    </w:r>
    <w:r w:rsidR="00FC1524">
      <w:rPr>
        <w:noProof/>
      </w:rPr>
      <w:t>1</w:t>
    </w:r>
    <w:r>
      <w:fldChar w:fldCharType="end"/>
    </w:r>
    <w:r>
      <w:t xml:space="preserve"> of </w:t>
    </w:r>
    <w:r w:rsidR="00FC1524">
      <w:fldChar w:fldCharType="begin"/>
    </w:r>
    <w:r w:rsidR="00FC1524">
      <w:instrText xml:space="preserve"> SECTIONPAGES  \* MERGEFORMAT </w:instrText>
    </w:r>
    <w:r w:rsidR="00FC1524">
      <w:fldChar w:fldCharType="separate"/>
    </w:r>
    <w:r w:rsidR="00FC1524">
      <w:rPr>
        <w:noProof/>
      </w:rPr>
      <w:t>1</w:t>
    </w:r>
    <w:r w:rsidR="00FC1524">
      <w:rPr>
        <w:noProof/>
      </w:rPr>
      <w:fldChar w:fldCharType="end"/>
    </w:r>
  </w:p>
  <w:p w:rsidR="00346F9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346F98" w:rsidRPr="0025621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256218">
      <w:rPr>
        <w:color w:val="999999"/>
        <w:sz w:val="8"/>
        <w:szCs w:val="8"/>
      </w:rPr>
      <w:t xml:space="preserve">Template Version: </w:t>
    </w:r>
    <w:r w:rsidRPr="00256218">
      <w:rPr>
        <w:color w:val="999999"/>
        <w:sz w:val="8"/>
        <w:szCs w:val="8"/>
      </w:rPr>
      <w:fldChar w:fldCharType="begin"/>
    </w:r>
    <w:r w:rsidRPr="00256218">
      <w:rPr>
        <w:color w:val="999999"/>
        <w:sz w:val="8"/>
        <w:szCs w:val="8"/>
      </w:rPr>
      <w:instrText xml:space="preserve"> DOCPROPERTY  "Template version"  \* MERGEFORMAT </w:instrText>
    </w:r>
    <w:r w:rsidRPr="00256218">
      <w:rPr>
        <w:color w:val="999999"/>
        <w:sz w:val="8"/>
        <w:szCs w:val="8"/>
      </w:rPr>
      <w:fldChar w:fldCharType="separate"/>
    </w:r>
    <w:r w:rsidR="00A7422E">
      <w:rPr>
        <w:color w:val="999999"/>
        <w:sz w:val="8"/>
        <w:szCs w:val="8"/>
      </w:rPr>
      <w:t>C020150806 - Main C</w:t>
    </w:r>
    <w:r w:rsidRPr="00256218">
      <w:rPr>
        <w:color w:val="999999"/>
        <w:sz w:val="8"/>
        <w:szCs w:val="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98" w:rsidRDefault="00346F98" w:rsidP="002607DD">
    <w:pPr>
      <w:pStyle w:val="Header1"/>
    </w:pPr>
    <w:r w:rsidRPr="0011136F">
      <w:t>The City of Winnipeg</w:t>
    </w:r>
    <w:r w:rsidRPr="0011136F">
      <w:tab/>
    </w:r>
    <w:r>
      <w:t>Bid Submission</w:t>
    </w:r>
  </w:p>
  <w:p w:rsidR="00346F98" w:rsidRPr="0011136F" w:rsidRDefault="00346F98" w:rsidP="002607DD">
    <w:pPr>
      <w:pStyle w:val="Header1"/>
    </w:pPr>
    <w:r>
      <w:t xml:space="preserve">Bid </w:t>
    </w:r>
    <w:smartTag w:uri="urn:schemas-microsoft-com:office:smarttags" w:element="place">
      <w:r>
        <w:t>Opportunity</w:t>
      </w:r>
    </w:smartTag>
    <w:r>
      <w:t xml:space="preserve"> No. </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00A7422E">
      <w:t xml:space="preserve">^ </w:t>
    </w:r>
    <w:r w:rsidRPr="0011136F">
      <w:fldChar w:fldCharType="end"/>
    </w:r>
    <w:r>
      <w:tab/>
      <w:t xml:space="preserve">Page </w:t>
    </w:r>
    <w:r>
      <w:fldChar w:fldCharType="begin"/>
    </w:r>
    <w:r>
      <w:instrText xml:space="preserve"> PAGE </w:instrText>
    </w:r>
    <w:r>
      <w:fldChar w:fldCharType="separate"/>
    </w:r>
    <w:r w:rsidR="00FC1524">
      <w:rPr>
        <w:noProof/>
      </w:rPr>
      <w:t>2</w:t>
    </w:r>
    <w:r>
      <w:fldChar w:fldCharType="end"/>
    </w:r>
    <w:r>
      <w:t xml:space="preserve"> of </w:t>
    </w:r>
    <w:r w:rsidR="00FC1524">
      <w:fldChar w:fldCharType="begin"/>
    </w:r>
    <w:r w:rsidR="00FC1524">
      <w:instrText xml:space="preserve"> SECTIONPAGES  \* MERGEFORMAT </w:instrText>
    </w:r>
    <w:r w:rsidR="00FC1524">
      <w:fldChar w:fldCharType="separate"/>
    </w:r>
    <w:r w:rsidR="00FC1524">
      <w:rPr>
        <w:noProof/>
      </w:rPr>
      <w:t>2</w:t>
    </w:r>
    <w:r w:rsidR="00FC1524">
      <w:rPr>
        <w:noProof/>
      </w:rPr>
      <w:fldChar w:fldCharType="end"/>
    </w:r>
  </w:p>
  <w:p w:rsidR="00346F9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346F98" w:rsidRPr="0025621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256218">
      <w:rPr>
        <w:color w:val="999999"/>
        <w:sz w:val="8"/>
        <w:szCs w:val="8"/>
      </w:rPr>
      <w:t xml:space="preserve">Template Version: </w:t>
    </w:r>
    <w:r w:rsidRPr="00256218">
      <w:rPr>
        <w:color w:val="999999"/>
        <w:sz w:val="8"/>
        <w:szCs w:val="8"/>
      </w:rPr>
      <w:fldChar w:fldCharType="begin"/>
    </w:r>
    <w:r w:rsidRPr="00256218">
      <w:rPr>
        <w:color w:val="999999"/>
        <w:sz w:val="8"/>
        <w:szCs w:val="8"/>
      </w:rPr>
      <w:instrText xml:space="preserve"> DOCPROPERTY  "Template version"  \* MERGEFORMAT </w:instrText>
    </w:r>
    <w:r w:rsidRPr="00256218">
      <w:rPr>
        <w:color w:val="999999"/>
        <w:sz w:val="8"/>
        <w:szCs w:val="8"/>
      </w:rPr>
      <w:fldChar w:fldCharType="separate"/>
    </w:r>
    <w:r w:rsidR="00A7422E">
      <w:rPr>
        <w:color w:val="999999"/>
        <w:sz w:val="8"/>
        <w:szCs w:val="8"/>
      </w:rPr>
      <w:t>C020150806 - Main C</w:t>
    </w:r>
    <w:r w:rsidRPr="00256218">
      <w:rPr>
        <w:color w:val="999999"/>
        <w:sz w:val="8"/>
        <w:szCs w:val="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98" w:rsidRDefault="00346F98">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r>
  </w:p>
  <w:p w:rsidR="00346F98" w:rsidRDefault="00346F98">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Bid Submission</w:t>
    </w:r>
  </w:p>
  <w:p w:rsidR="00346F98" w:rsidRDefault="00346F98">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16"/>
        <w:szCs w:val="16"/>
      </w:rPr>
    </w:pPr>
    <w:r>
      <w:rPr>
        <w:sz w:val="16"/>
        <w:szCs w:val="16"/>
      </w:rPr>
      <w:tab/>
      <w:t xml:space="preserve">Page </w:t>
    </w:r>
    <w:r>
      <w:rPr>
        <w:sz w:val="16"/>
        <w:szCs w:val="20"/>
        <w:lang w:val="en-US"/>
      </w:rPr>
      <w:fldChar w:fldCharType="begin"/>
    </w:r>
    <w:r>
      <w:rPr>
        <w:sz w:val="16"/>
        <w:szCs w:val="20"/>
        <w:lang w:val="en-US"/>
      </w:rPr>
      <w:instrText xml:space="preserve"> PAGE </w:instrText>
    </w:r>
    <w:r>
      <w:rPr>
        <w:sz w:val="16"/>
        <w:szCs w:val="20"/>
        <w:lang w:val="en-US"/>
      </w:rPr>
      <w:fldChar w:fldCharType="separate"/>
    </w:r>
    <w:r>
      <w:rPr>
        <w:noProof/>
        <w:sz w:val="16"/>
        <w:szCs w:val="20"/>
        <w:lang w:val="en-US"/>
      </w:rPr>
      <w:t>2</w:t>
    </w:r>
    <w:r>
      <w:rPr>
        <w:sz w:val="16"/>
        <w:szCs w:val="20"/>
        <w:lang w:val="en-US"/>
      </w:rPr>
      <w:fldChar w:fldCharType="end"/>
    </w:r>
    <w:r>
      <w:rPr>
        <w:sz w:val="16"/>
        <w:szCs w:val="16"/>
      </w:rPr>
      <w:t xml:space="preserve"> of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2</w:t>
    </w:r>
    <w:r>
      <w:rPr>
        <w:sz w:val="16"/>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98" w:rsidRDefault="00346F98" w:rsidP="002607DD">
    <w:pPr>
      <w:pStyle w:val="Header1"/>
    </w:pPr>
    <w:r w:rsidRPr="0011136F">
      <w:t>The City of Winnipeg</w:t>
    </w:r>
    <w:r w:rsidRPr="0011136F">
      <w:tab/>
    </w:r>
    <w:r>
      <w:t>Bidding Procedures</w:t>
    </w:r>
  </w:p>
  <w:p w:rsidR="00346F98" w:rsidRPr="0011136F" w:rsidRDefault="00346F98" w:rsidP="002607DD">
    <w:pPr>
      <w:pStyle w:val="Header1"/>
    </w:pPr>
    <w:r>
      <w:t xml:space="preserve">Bid </w:t>
    </w:r>
    <w:smartTag w:uri="urn:schemas-microsoft-com:office:smarttags" w:element="place">
      <w:r>
        <w:t>Opportunity</w:t>
      </w:r>
    </w:smartTag>
    <w:r>
      <w:t xml:space="preserve"> No.</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00A7422E">
      <w:t xml:space="preserve">^ </w:t>
    </w:r>
    <w:r w:rsidRPr="0011136F">
      <w:fldChar w:fldCharType="end"/>
    </w:r>
    <w:r>
      <w:tab/>
      <w:t xml:space="preserve">Page </w:t>
    </w:r>
    <w:r>
      <w:fldChar w:fldCharType="begin"/>
    </w:r>
    <w:r>
      <w:instrText xml:space="preserve"> PAGE </w:instrText>
    </w:r>
    <w:r>
      <w:fldChar w:fldCharType="separate"/>
    </w:r>
    <w:r w:rsidR="00FC1524">
      <w:rPr>
        <w:noProof/>
      </w:rPr>
      <w:t>2</w:t>
    </w:r>
    <w:r>
      <w:fldChar w:fldCharType="end"/>
    </w:r>
    <w:r>
      <w:t xml:space="preserve"> of </w:t>
    </w:r>
    <w:r w:rsidR="00FC1524">
      <w:fldChar w:fldCharType="begin"/>
    </w:r>
    <w:r w:rsidR="00FC1524">
      <w:instrText xml:space="preserve"> SECTIONPAGES  \* MERGEFORMAT </w:instrText>
    </w:r>
    <w:r w:rsidR="00FC1524">
      <w:fldChar w:fldCharType="separate"/>
    </w:r>
    <w:r w:rsidR="00FC1524">
      <w:rPr>
        <w:noProof/>
      </w:rPr>
      <w:t>2</w:t>
    </w:r>
    <w:r w:rsidR="00FC1524">
      <w:rPr>
        <w:noProof/>
      </w:rPr>
      <w:fldChar w:fldCharType="end"/>
    </w:r>
  </w:p>
  <w:p w:rsidR="00346F9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346F98" w:rsidRPr="0025621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256218">
      <w:rPr>
        <w:color w:val="999999"/>
        <w:sz w:val="8"/>
        <w:szCs w:val="8"/>
      </w:rPr>
      <w:t xml:space="preserve">Template Version: </w:t>
    </w:r>
    <w:r w:rsidRPr="00256218">
      <w:rPr>
        <w:color w:val="999999"/>
        <w:sz w:val="8"/>
        <w:szCs w:val="8"/>
      </w:rPr>
      <w:fldChar w:fldCharType="begin"/>
    </w:r>
    <w:r w:rsidRPr="00256218">
      <w:rPr>
        <w:color w:val="999999"/>
        <w:sz w:val="8"/>
        <w:szCs w:val="8"/>
      </w:rPr>
      <w:instrText xml:space="preserve"> DOCPROPERTY  "Template version"  \* MERGEFORMAT </w:instrText>
    </w:r>
    <w:r w:rsidRPr="00256218">
      <w:rPr>
        <w:color w:val="999999"/>
        <w:sz w:val="8"/>
        <w:szCs w:val="8"/>
      </w:rPr>
      <w:fldChar w:fldCharType="separate"/>
    </w:r>
    <w:r w:rsidR="00A7422E">
      <w:rPr>
        <w:color w:val="999999"/>
        <w:sz w:val="8"/>
        <w:szCs w:val="8"/>
      </w:rPr>
      <w:t>C020150806 - Main C</w:t>
    </w:r>
    <w:r w:rsidRPr="00256218">
      <w:rPr>
        <w:color w:val="999999"/>
        <w:sz w:val="8"/>
        <w:szCs w:val="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98" w:rsidRDefault="00346F98" w:rsidP="002607DD">
    <w:pPr>
      <w:pStyle w:val="Header1"/>
    </w:pPr>
    <w:r w:rsidRPr="0011136F">
      <w:t>The City of Winnipeg</w:t>
    </w:r>
    <w:r w:rsidRPr="0011136F">
      <w:tab/>
    </w:r>
    <w:r>
      <w:t>General Conditions</w:t>
    </w:r>
  </w:p>
  <w:p w:rsidR="00346F98" w:rsidRPr="0011136F" w:rsidRDefault="00346F98" w:rsidP="002607DD">
    <w:pPr>
      <w:pStyle w:val="Header1"/>
    </w:pPr>
    <w:r>
      <w:t xml:space="preserve">Bid </w:t>
    </w:r>
    <w:smartTag w:uri="urn:schemas-microsoft-com:office:smarttags" w:element="place">
      <w:r>
        <w:t>Opportunity</w:t>
      </w:r>
    </w:smartTag>
    <w:r>
      <w:t xml:space="preserve"> No. </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00A7422E">
      <w:t xml:space="preserve">^ </w:t>
    </w:r>
    <w:r w:rsidRPr="0011136F">
      <w:fldChar w:fldCharType="end"/>
    </w:r>
    <w:r>
      <w:tab/>
      <w:t xml:space="preserve">Page </w:t>
    </w:r>
    <w:r>
      <w:fldChar w:fldCharType="begin"/>
    </w:r>
    <w:r>
      <w:instrText xml:space="preserve"> PAGE </w:instrText>
    </w:r>
    <w:r>
      <w:fldChar w:fldCharType="separate"/>
    </w:r>
    <w:r w:rsidR="00FC1524">
      <w:rPr>
        <w:noProof/>
      </w:rPr>
      <w:t>1</w:t>
    </w:r>
    <w:r>
      <w:fldChar w:fldCharType="end"/>
    </w:r>
    <w:r>
      <w:t xml:space="preserve"> of </w:t>
    </w:r>
    <w:r w:rsidR="00FC1524">
      <w:fldChar w:fldCharType="begin"/>
    </w:r>
    <w:r w:rsidR="00FC1524">
      <w:instrText xml:space="preserve"> SECTIONPAGES  \* MERGEFO</w:instrText>
    </w:r>
    <w:r w:rsidR="00FC1524">
      <w:instrText xml:space="preserve">RMAT </w:instrText>
    </w:r>
    <w:r w:rsidR="00FC1524">
      <w:fldChar w:fldCharType="separate"/>
    </w:r>
    <w:r w:rsidR="00FC1524">
      <w:rPr>
        <w:noProof/>
      </w:rPr>
      <w:t>1</w:t>
    </w:r>
    <w:r w:rsidR="00FC1524">
      <w:rPr>
        <w:noProof/>
      </w:rPr>
      <w:fldChar w:fldCharType="end"/>
    </w:r>
  </w:p>
  <w:p w:rsidR="00346F9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346F98" w:rsidRPr="0025621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256218">
      <w:rPr>
        <w:color w:val="999999"/>
        <w:sz w:val="8"/>
        <w:szCs w:val="8"/>
      </w:rPr>
      <w:t xml:space="preserve">Template Version: </w:t>
    </w:r>
    <w:r w:rsidRPr="00256218">
      <w:rPr>
        <w:color w:val="999999"/>
        <w:sz w:val="8"/>
        <w:szCs w:val="8"/>
      </w:rPr>
      <w:fldChar w:fldCharType="begin"/>
    </w:r>
    <w:r w:rsidRPr="00256218">
      <w:rPr>
        <w:color w:val="999999"/>
        <w:sz w:val="8"/>
        <w:szCs w:val="8"/>
      </w:rPr>
      <w:instrText xml:space="preserve"> DOCPROPERTY  "Template version"  \* MERGEFORMAT </w:instrText>
    </w:r>
    <w:r w:rsidRPr="00256218">
      <w:rPr>
        <w:color w:val="999999"/>
        <w:sz w:val="8"/>
        <w:szCs w:val="8"/>
      </w:rPr>
      <w:fldChar w:fldCharType="separate"/>
    </w:r>
    <w:r w:rsidR="00A7422E">
      <w:rPr>
        <w:color w:val="999999"/>
        <w:sz w:val="8"/>
        <w:szCs w:val="8"/>
      </w:rPr>
      <w:t>C020150806 - Main C</w:t>
    </w:r>
    <w:r w:rsidRPr="00256218">
      <w:rPr>
        <w:color w:val="999999"/>
        <w:sz w:val="8"/>
        <w:szCs w:val="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98" w:rsidRDefault="00346F98" w:rsidP="002607DD">
    <w:pPr>
      <w:pStyle w:val="Header1"/>
    </w:pPr>
    <w:r w:rsidRPr="0011136F">
      <w:t>The City of Winnipeg</w:t>
    </w:r>
    <w:r w:rsidRPr="0011136F">
      <w:tab/>
    </w:r>
    <w:r>
      <w:t>Supplemental Conditions</w:t>
    </w:r>
  </w:p>
  <w:p w:rsidR="00346F98" w:rsidRPr="0011136F" w:rsidRDefault="00346F98" w:rsidP="002607DD">
    <w:pPr>
      <w:pStyle w:val="Header1"/>
    </w:pPr>
    <w:r>
      <w:t xml:space="preserve">Bid </w:t>
    </w:r>
    <w:smartTag w:uri="urn:schemas-microsoft-com:office:smarttags" w:element="place">
      <w:r>
        <w:t>Opportunity</w:t>
      </w:r>
    </w:smartTag>
    <w:r>
      <w:t xml:space="preserve"> No. </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00A7422E">
      <w:t xml:space="preserve">^ </w:t>
    </w:r>
    <w:r w:rsidRPr="0011136F">
      <w:fldChar w:fldCharType="end"/>
    </w:r>
    <w:r>
      <w:tab/>
      <w:t xml:space="preserve">Page </w:t>
    </w:r>
    <w:r>
      <w:fldChar w:fldCharType="begin"/>
    </w:r>
    <w:r>
      <w:instrText xml:space="preserve"> PAGE </w:instrText>
    </w:r>
    <w:r>
      <w:fldChar w:fldCharType="separate"/>
    </w:r>
    <w:r w:rsidR="00FC1524">
      <w:rPr>
        <w:noProof/>
      </w:rPr>
      <w:t>2</w:t>
    </w:r>
    <w:r>
      <w:fldChar w:fldCharType="end"/>
    </w:r>
    <w:r>
      <w:t xml:space="preserve"> of </w:t>
    </w:r>
    <w:r w:rsidR="00FC1524">
      <w:fldChar w:fldCharType="begin"/>
    </w:r>
    <w:r w:rsidR="00FC1524">
      <w:instrText xml:space="preserve"> SECTIONPAGES  \* MERGEFORMAT </w:instrText>
    </w:r>
    <w:r w:rsidR="00FC1524">
      <w:fldChar w:fldCharType="separate"/>
    </w:r>
    <w:r w:rsidR="00FC1524">
      <w:rPr>
        <w:noProof/>
      </w:rPr>
      <w:t>2</w:t>
    </w:r>
    <w:r w:rsidR="00FC1524">
      <w:rPr>
        <w:noProof/>
      </w:rPr>
      <w:fldChar w:fldCharType="end"/>
    </w:r>
  </w:p>
  <w:p w:rsidR="00346F9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346F98" w:rsidRPr="0025621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256218">
      <w:rPr>
        <w:color w:val="999999"/>
        <w:sz w:val="8"/>
        <w:szCs w:val="8"/>
      </w:rPr>
      <w:t xml:space="preserve">Template Version: </w:t>
    </w:r>
    <w:r w:rsidRPr="00256218">
      <w:rPr>
        <w:color w:val="999999"/>
        <w:sz w:val="8"/>
        <w:szCs w:val="8"/>
      </w:rPr>
      <w:fldChar w:fldCharType="begin"/>
    </w:r>
    <w:r w:rsidRPr="00256218">
      <w:rPr>
        <w:color w:val="999999"/>
        <w:sz w:val="8"/>
        <w:szCs w:val="8"/>
      </w:rPr>
      <w:instrText xml:space="preserve"> DOCPROPERTY  "Template version"  \* MERGEFORMAT </w:instrText>
    </w:r>
    <w:r w:rsidRPr="00256218">
      <w:rPr>
        <w:color w:val="999999"/>
        <w:sz w:val="8"/>
        <w:szCs w:val="8"/>
      </w:rPr>
      <w:fldChar w:fldCharType="separate"/>
    </w:r>
    <w:r w:rsidR="00A7422E">
      <w:rPr>
        <w:color w:val="999999"/>
        <w:sz w:val="8"/>
        <w:szCs w:val="8"/>
      </w:rPr>
      <w:t>C020150806 - Main C</w:t>
    </w:r>
    <w:r w:rsidRPr="00256218">
      <w:rPr>
        <w:color w:val="999999"/>
        <w:sz w:val="8"/>
        <w:szCs w:val="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98" w:rsidRDefault="00346F98" w:rsidP="002607DD">
    <w:pPr>
      <w:pStyle w:val="Header1"/>
    </w:pPr>
    <w:r w:rsidRPr="0011136F">
      <w:t>The City of Winnipeg</w:t>
    </w:r>
    <w:r w:rsidRPr="0011136F">
      <w:tab/>
    </w:r>
    <w:r>
      <w:t>Specifications</w:t>
    </w:r>
  </w:p>
  <w:p w:rsidR="00346F98" w:rsidRPr="0011136F" w:rsidRDefault="00346F98" w:rsidP="002607DD">
    <w:pPr>
      <w:pStyle w:val="Header1"/>
    </w:pPr>
    <w:r>
      <w:t xml:space="preserve">Bid </w:t>
    </w:r>
    <w:smartTag w:uri="urn:schemas-microsoft-com:office:smarttags" w:element="place">
      <w:r>
        <w:t>Opportunity</w:t>
      </w:r>
    </w:smartTag>
    <w:r>
      <w:t xml:space="preserve"> No. </w:t>
    </w:r>
    <w:r w:rsidRPr="0011136F">
      <w:fldChar w:fldCharType="begin"/>
    </w:r>
    <w:r w:rsidRPr="0011136F">
      <w:instrText xml:space="preserve"> REF </w:instrText>
    </w:r>
    <w:r>
      <w:instrText>BidOppNo</w:instrText>
    </w:r>
    <w:r w:rsidRPr="0011136F">
      <w:instrText xml:space="preserve"> \* MERGEFORMAT </w:instrText>
    </w:r>
    <w:r w:rsidRPr="0011136F">
      <w:fldChar w:fldCharType="separate"/>
    </w:r>
    <w:r w:rsidR="00A7422E">
      <w:t xml:space="preserve">^ </w:t>
    </w:r>
    <w:r w:rsidRPr="0011136F">
      <w:fldChar w:fldCharType="end"/>
    </w:r>
    <w:r>
      <w:tab/>
      <w:t xml:space="preserve">Page </w:t>
    </w:r>
    <w:r>
      <w:fldChar w:fldCharType="begin"/>
    </w:r>
    <w:r>
      <w:instrText xml:space="preserve"> PAGE </w:instrText>
    </w:r>
    <w:r>
      <w:fldChar w:fldCharType="separate"/>
    </w:r>
    <w:r w:rsidR="00FC1524">
      <w:rPr>
        <w:noProof/>
      </w:rPr>
      <w:t>5</w:t>
    </w:r>
    <w:r>
      <w:fldChar w:fldCharType="end"/>
    </w:r>
    <w:r>
      <w:t xml:space="preserve"> of </w:t>
    </w:r>
    <w:r w:rsidR="00FC1524">
      <w:fldChar w:fldCharType="begin"/>
    </w:r>
    <w:r w:rsidR="00FC1524">
      <w:instrText xml:space="preserve"> SECTIONPAGES  \* MERGEFORMAT </w:instrText>
    </w:r>
    <w:r w:rsidR="00FC1524">
      <w:fldChar w:fldCharType="separate"/>
    </w:r>
    <w:r w:rsidR="00FC1524">
      <w:rPr>
        <w:noProof/>
      </w:rPr>
      <w:t>8</w:t>
    </w:r>
    <w:r w:rsidR="00FC1524">
      <w:rPr>
        <w:noProof/>
      </w:rPr>
      <w:fldChar w:fldCharType="end"/>
    </w:r>
  </w:p>
  <w:p w:rsidR="00346F9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sz w:val="8"/>
        <w:szCs w:val="8"/>
      </w:rPr>
    </w:pPr>
  </w:p>
  <w:p w:rsidR="00346F98" w:rsidRPr="00256218" w:rsidRDefault="00346F98" w:rsidP="00E020BF">
    <w:pPr>
      <w:tabs>
        <w:tab w:val="left" w:pos="-1008"/>
        <w:tab w:val="left" w:pos="-288"/>
        <w:tab w:val="left" w:pos="7560"/>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jc w:val="both"/>
      <w:rPr>
        <w:color w:val="999999"/>
        <w:sz w:val="8"/>
        <w:szCs w:val="8"/>
      </w:rPr>
    </w:pPr>
    <w:r w:rsidRPr="00256218">
      <w:rPr>
        <w:color w:val="999999"/>
        <w:sz w:val="8"/>
        <w:szCs w:val="8"/>
      </w:rPr>
      <w:t xml:space="preserve">Template Version: </w:t>
    </w:r>
    <w:r w:rsidRPr="00256218">
      <w:rPr>
        <w:color w:val="999999"/>
        <w:sz w:val="8"/>
        <w:szCs w:val="8"/>
      </w:rPr>
      <w:fldChar w:fldCharType="begin"/>
    </w:r>
    <w:r w:rsidRPr="00256218">
      <w:rPr>
        <w:color w:val="999999"/>
        <w:sz w:val="8"/>
        <w:szCs w:val="8"/>
      </w:rPr>
      <w:instrText xml:space="preserve"> DOCPROPERTY  "Template version"  \* MERGEFORMAT </w:instrText>
    </w:r>
    <w:r w:rsidRPr="00256218">
      <w:rPr>
        <w:color w:val="999999"/>
        <w:sz w:val="8"/>
        <w:szCs w:val="8"/>
      </w:rPr>
      <w:fldChar w:fldCharType="separate"/>
    </w:r>
    <w:r w:rsidR="00A7422E">
      <w:rPr>
        <w:color w:val="999999"/>
        <w:sz w:val="8"/>
        <w:szCs w:val="8"/>
      </w:rPr>
      <w:t>C020150806 - Main C</w:t>
    </w:r>
    <w:r w:rsidRPr="00256218">
      <w:rPr>
        <w:color w:val="999999"/>
        <w:sz w:val="8"/>
        <w:szCs w:val="8"/>
      </w:rPr>
      <w:fldChar w:fldCharType="end"/>
    </w:r>
  </w:p>
  <w:p w:rsidR="00346F98" w:rsidRDefault="00346F98" w:rsidP="00E02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784C98"/>
    <w:lvl w:ilvl="0">
      <w:start w:val="1"/>
      <w:numFmt w:val="decimal"/>
      <w:lvlText w:val="%1."/>
      <w:lvlJc w:val="left"/>
      <w:pPr>
        <w:tabs>
          <w:tab w:val="num" w:pos="1800"/>
        </w:tabs>
        <w:ind w:left="1800" w:hanging="360"/>
      </w:pPr>
    </w:lvl>
  </w:abstractNum>
  <w:abstractNum w:abstractNumId="1">
    <w:nsid w:val="FFFFFF7D"/>
    <w:multiLevelType w:val="singleLevel"/>
    <w:tmpl w:val="4D983CE0"/>
    <w:lvl w:ilvl="0">
      <w:start w:val="1"/>
      <w:numFmt w:val="decimal"/>
      <w:lvlText w:val="%1."/>
      <w:lvlJc w:val="left"/>
      <w:pPr>
        <w:tabs>
          <w:tab w:val="num" w:pos="1440"/>
        </w:tabs>
        <w:ind w:left="1440" w:hanging="360"/>
      </w:pPr>
    </w:lvl>
  </w:abstractNum>
  <w:abstractNum w:abstractNumId="2">
    <w:nsid w:val="FFFFFF7E"/>
    <w:multiLevelType w:val="singleLevel"/>
    <w:tmpl w:val="AD96F0EC"/>
    <w:lvl w:ilvl="0">
      <w:start w:val="1"/>
      <w:numFmt w:val="decimal"/>
      <w:lvlText w:val="%1."/>
      <w:lvlJc w:val="left"/>
      <w:pPr>
        <w:tabs>
          <w:tab w:val="num" w:pos="1080"/>
        </w:tabs>
        <w:ind w:left="1080" w:hanging="360"/>
      </w:pPr>
    </w:lvl>
  </w:abstractNum>
  <w:abstractNum w:abstractNumId="3">
    <w:nsid w:val="FFFFFF7F"/>
    <w:multiLevelType w:val="singleLevel"/>
    <w:tmpl w:val="B68C8A9C"/>
    <w:lvl w:ilvl="0">
      <w:start w:val="1"/>
      <w:numFmt w:val="decimal"/>
      <w:lvlText w:val="%1."/>
      <w:lvlJc w:val="left"/>
      <w:pPr>
        <w:tabs>
          <w:tab w:val="num" w:pos="720"/>
        </w:tabs>
        <w:ind w:left="720" w:hanging="360"/>
      </w:pPr>
    </w:lvl>
  </w:abstractNum>
  <w:abstractNum w:abstractNumId="4">
    <w:nsid w:val="FFFFFF80"/>
    <w:multiLevelType w:val="singleLevel"/>
    <w:tmpl w:val="CB0075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3806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9085A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8A1D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9A6F3C"/>
    <w:lvl w:ilvl="0">
      <w:start w:val="1"/>
      <w:numFmt w:val="decimal"/>
      <w:lvlText w:val="%1."/>
      <w:lvlJc w:val="left"/>
      <w:pPr>
        <w:tabs>
          <w:tab w:val="num" w:pos="360"/>
        </w:tabs>
        <w:ind w:left="360" w:hanging="360"/>
      </w:pPr>
    </w:lvl>
  </w:abstractNum>
  <w:abstractNum w:abstractNumId="9">
    <w:nsid w:val="FFFFFF89"/>
    <w:multiLevelType w:val="singleLevel"/>
    <w:tmpl w:val="3258E096"/>
    <w:lvl w:ilvl="0">
      <w:start w:val="1"/>
      <w:numFmt w:val="bullet"/>
      <w:lvlText w:val=""/>
      <w:lvlJc w:val="left"/>
      <w:pPr>
        <w:tabs>
          <w:tab w:val="num" w:pos="360"/>
        </w:tabs>
        <w:ind w:left="360" w:hanging="360"/>
      </w:pPr>
      <w:rPr>
        <w:rFonts w:ascii="Symbol" w:hAnsi="Symbol" w:hint="default"/>
      </w:rPr>
    </w:lvl>
  </w:abstractNum>
  <w:abstractNum w:abstractNumId="10">
    <w:nsid w:val="2CC41BE5"/>
    <w:multiLevelType w:val="multilevel"/>
    <w:tmpl w:val="FDB6D94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864"/>
        </w:tabs>
        <w:ind w:left="86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2106"/>
        </w:tabs>
        <w:ind w:left="210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1">
    <w:nsid w:val="2E1755A0"/>
    <w:multiLevelType w:val="multilevel"/>
    <w:tmpl w:val="3B800ABC"/>
    <w:lvl w:ilvl="0">
      <w:start w:val="2"/>
      <w:numFmt w:val="upperLetter"/>
      <w:suff w:val="nothing"/>
      <w:lvlText w:val="PART %1 - "/>
      <w:lvlJc w:val="left"/>
      <w:pPr>
        <w:ind w:left="0" w:firstLine="0"/>
      </w:pPr>
      <w:rPr>
        <w:rFonts w:ascii="Arial" w:hAnsi="Arial" w:hint="default"/>
        <w:b/>
        <w:i w:val="0"/>
        <w:sz w:val="24"/>
      </w:rPr>
    </w:lvl>
    <w:lvl w:ilvl="1">
      <w:start w:val="1"/>
      <w:numFmt w:val="decimal"/>
      <w:pStyle w:val="AppendixClauseHeading"/>
      <w:lvlText w:val="%2."/>
      <w:lvlJc w:val="left"/>
      <w:pPr>
        <w:tabs>
          <w:tab w:val="num" w:pos="864"/>
        </w:tabs>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hint="default"/>
      </w:rPr>
    </w:lvl>
    <w:lvl w:ilvl="3">
      <w:start w:val="1"/>
      <w:numFmt w:val="lowerLetter"/>
      <w:lvlText w:val="(%4)"/>
      <w:lvlJc w:val="left"/>
      <w:pPr>
        <w:tabs>
          <w:tab w:val="num" w:pos="1296"/>
        </w:tabs>
        <w:ind w:left="1296" w:hanging="432"/>
      </w:pPr>
      <w:rPr>
        <w:rFonts w:hint="default"/>
      </w:rPr>
    </w:lvl>
    <w:lvl w:ilvl="4">
      <w:start w:val="1"/>
      <w:numFmt w:val="lowerRoman"/>
      <w:lvlText w:val="(%5)"/>
      <w:lvlJc w:val="right"/>
      <w:pPr>
        <w:tabs>
          <w:tab w:val="num" w:pos="1872"/>
        </w:tabs>
        <w:ind w:left="1872" w:hanging="288"/>
      </w:pPr>
      <w:rPr>
        <w:rFonts w:hint="default"/>
      </w:rPr>
    </w:lvl>
    <w:lvl w:ilvl="5">
      <w:start w:val="1"/>
      <w:numFmt w:val="decimal"/>
      <w:lvlRestart w:val="3"/>
      <w:lvlText w:val="%1%2.%3.%6"/>
      <w:lvlJc w:val="left"/>
      <w:pPr>
        <w:tabs>
          <w:tab w:val="num" w:pos="1296"/>
        </w:tabs>
        <w:ind w:left="1296" w:hanging="1296"/>
      </w:pPr>
      <w:rPr>
        <w:rFonts w:hint="default"/>
      </w:rPr>
    </w:lvl>
    <w:lvl w:ilvl="6">
      <w:start w:val="1"/>
      <w:numFmt w:val="lowerLetter"/>
      <w:lvlText w:val="(%7)"/>
      <w:lvlJc w:val="left"/>
      <w:pPr>
        <w:tabs>
          <w:tab w:val="num" w:pos="1728"/>
        </w:tabs>
        <w:ind w:left="1728" w:hanging="432"/>
      </w:pPr>
      <w:rPr>
        <w:rFonts w:hint="default"/>
      </w:rPr>
    </w:lvl>
    <w:lvl w:ilvl="7">
      <w:start w:val="1"/>
      <w:numFmt w:val="lowerRoman"/>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12">
    <w:nsid w:val="32CB4141"/>
    <w:multiLevelType w:val="multilevel"/>
    <w:tmpl w:val="B2724D74"/>
    <w:lvl w:ilvl="0">
      <w:start w:val="1"/>
      <w:numFmt w:val="decimal"/>
      <w:lvlText w:val="%1"/>
      <w:lvlJc w:val="left"/>
      <w:pPr>
        <w:ind w:left="360" w:hanging="360"/>
      </w:pPr>
      <w:rPr>
        <w:rFonts w:hint="default"/>
      </w:rPr>
    </w:lvl>
    <w:lvl w:ilvl="1">
      <w:start w:val="1"/>
      <w:numFmt w:val="decimal"/>
      <w:pStyle w:val="AppendixClause"/>
      <w:lvlText w:val="%1.%2"/>
      <w:lvlJc w:val="left"/>
      <w:pPr>
        <w:ind w:left="360" w:hanging="360"/>
      </w:pPr>
      <w:rPr>
        <w:rFonts w:hint="default"/>
      </w:rPr>
    </w:lvl>
    <w:lvl w:ilvl="2">
      <w:start w:val="1"/>
      <w:numFmt w:val="decimal"/>
      <w:pStyle w:val="AppendixSubClaus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682ADF"/>
    <w:multiLevelType w:val="hybridMultilevel"/>
    <w:tmpl w:val="82E2A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8A6EE4"/>
    <w:multiLevelType w:val="hybridMultilevel"/>
    <w:tmpl w:val="B9FA5FBE"/>
    <w:lvl w:ilvl="0" w:tplc="8F26269A">
      <w:start w:val="1"/>
      <w:numFmt w:val="decimal"/>
      <w:lvlText w:val="%1."/>
      <w:lvlJc w:val="left"/>
      <w:pPr>
        <w:tabs>
          <w:tab w:val="num" w:pos="360"/>
        </w:tabs>
        <w:ind w:left="0" w:firstLine="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footnotePr>
    <w:footnote w:id="-1"/>
    <w:footnote w:id="0"/>
  </w:footnotePr>
  <w:endnotePr>
    <w:pos w:val="sectEnd"/>
    <w:numFmt w:val="upp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8E"/>
    <w:rsid w:val="00001F69"/>
    <w:rsid w:val="0000287E"/>
    <w:rsid w:val="00006D01"/>
    <w:rsid w:val="00010307"/>
    <w:rsid w:val="000157FE"/>
    <w:rsid w:val="00016D71"/>
    <w:rsid w:val="000205A4"/>
    <w:rsid w:val="000224DA"/>
    <w:rsid w:val="000231AC"/>
    <w:rsid w:val="0002508C"/>
    <w:rsid w:val="00025A6C"/>
    <w:rsid w:val="00026EBF"/>
    <w:rsid w:val="000270E1"/>
    <w:rsid w:val="00031FFD"/>
    <w:rsid w:val="000333F4"/>
    <w:rsid w:val="00033E41"/>
    <w:rsid w:val="000400D6"/>
    <w:rsid w:val="00041CCB"/>
    <w:rsid w:val="00042A33"/>
    <w:rsid w:val="0004330A"/>
    <w:rsid w:val="000452A9"/>
    <w:rsid w:val="00046ADC"/>
    <w:rsid w:val="000477AD"/>
    <w:rsid w:val="00051D8B"/>
    <w:rsid w:val="000531D1"/>
    <w:rsid w:val="00053A56"/>
    <w:rsid w:val="00053DA6"/>
    <w:rsid w:val="00055D2F"/>
    <w:rsid w:val="00056F26"/>
    <w:rsid w:val="00061154"/>
    <w:rsid w:val="00061EC9"/>
    <w:rsid w:val="00062D4B"/>
    <w:rsid w:val="000661A3"/>
    <w:rsid w:val="000664F7"/>
    <w:rsid w:val="00074816"/>
    <w:rsid w:val="00082E72"/>
    <w:rsid w:val="00082F3C"/>
    <w:rsid w:val="000837B4"/>
    <w:rsid w:val="00084546"/>
    <w:rsid w:val="000846E5"/>
    <w:rsid w:val="0008573A"/>
    <w:rsid w:val="0008799D"/>
    <w:rsid w:val="0009095B"/>
    <w:rsid w:val="00091177"/>
    <w:rsid w:val="0009306C"/>
    <w:rsid w:val="0009341C"/>
    <w:rsid w:val="00096BE7"/>
    <w:rsid w:val="000A0503"/>
    <w:rsid w:val="000A1146"/>
    <w:rsid w:val="000A1E27"/>
    <w:rsid w:val="000A1E4B"/>
    <w:rsid w:val="000A2ABB"/>
    <w:rsid w:val="000A3393"/>
    <w:rsid w:val="000A3A3E"/>
    <w:rsid w:val="000A3EEC"/>
    <w:rsid w:val="000A48B7"/>
    <w:rsid w:val="000A6150"/>
    <w:rsid w:val="000A6881"/>
    <w:rsid w:val="000B1BE6"/>
    <w:rsid w:val="000B2247"/>
    <w:rsid w:val="000B3B6B"/>
    <w:rsid w:val="000B579D"/>
    <w:rsid w:val="000B586B"/>
    <w:rsid w:val="000B592B"/>
    <w:rsid w:val="000B722F"/>
    <w:rsid w:val="000C3870"/>
    <w:rsid w:val="000C39B0"/>
    <w:rsid w:val="000C4207"/>
    <w:rsid w:val="000C698E"/>
    <w:rsid w:val="000C7193"/>
    <w:rsid w:val="000D12E9"/>
    <w:rsid w:val="000D42AB"/>
    <w:rsid w:val="000D51F7"/>
    <w:rsid w:val="000D5FB1"/>
    <w:rsid w:val="000D645B"/>
    <w:rsid w:val="000D662B"/>
    <w:rsid w:val="000E2CA7"/>
    <w:rsid w:val="000E4FEB"/>
    <w:rsid w:val="000E676D"/>
    <w:rsid w:val="000E6A9E"/>
    <w:rsid w:val="000E7587"/>
    <w:rsid w:val="000E7ABD"/>
    <w:rsid w:val="000F0102"/>
    <w:rsid w:val="000F04B9"/>
    <w:rsid w:val="000F108B"/>
    <w:rsid w:val="000F2B5D"/>
    <w:rsid w:val="000F45C7"/>
    <w:rsid w:val="000F4B4F"/>
    <w:rsid w:val="000F56F6"/>
    <w:rsid w:val="000F6D90"/>
    <w:rsid w:val="000F7686"/>
    <w:rsid w:val="0010037A"/>
    <w:rsid w:val="00100A06"/>
    <w:rsid w:val="00101406"/>
    <w:rsid w:val="00102FBF"/>
    <w:rsid w:val="00104651"/>
    <w:rsid w:val="00105F62"/>
    <w:rsid w:val="0010700B"/>
    <w:rsid w:val="00107150"/>
    <w:rsid w:val="001079EC"/>
    <w:rsid w:val="00112232"/>
    <w:rsid w:val="00112B04"/>
    <w:rsid w:val="00114721"/>
    <w:rsid w:val="001150C0"/>
    <w:rsid w:val="00116085"/>
    <w:rsid w:val="0011778C"/>
    <w:rsid w:val="00120F1E"/>
    <w:rsid w:val="001216FA"/>
    <w:rsid w:val="00124D1F"/>
    <w:rsid w:val="00126C07"/>
    <w:rsid w:val="001279DC"/>
    <w:rsid w:val="00127F46"/>
    <w:rsid w:val="00130E7D"/>
    <w:rsid w:val="00132235"/>
    <w:rsid w:val="00134F6F"/>
    <w:rsid w:val="0013666C"/>
    <w:rsid w:val="00137712"/>
    <w:rsid w:val="0014070F"/>
    <w:rsid w:val="001433CA"/>
    <w:rsid w:val="00145B69"/>
    <w:rsid w:val="00146292"/>
    <w:rsid w:val="0015146E"/>
    <w:rsid w:val="00152613"/>
    <w:rsid w:val="00153D00"/>
    <w:rsid w:val="00156103"/>
    <w:rsid w:val="00161A7E"/>
    <w:rsid w:val="0016258B"/>
    <w:rsid w:val="0016401B"/>
    <w:rsid w:val="001673A7"/>
    <w:rsid w:val="001673AE"/>
    <w:rsid w:val="001723ED"/>
    <w:rsid w:val="00173106"/>
    <w:rsid w:val="001735C1"/>
    <w:rsid w:val="00173EDE"/>
    <w:rsid w:val="001740C0"/>
    <w:rsid w:val="00183C27"/>
    <w:rsid w:val="0018464E"/>
    <w:rsid w:val="00184786"/>
    <w:rsid w:val="00190A3A"/>
    <w:rsid w:val="00190DA3"/>
    <w:rsid w:val="00195DA2"/>
    <w:rsid w:val="00197CC0"/>
    <w:rsid w:val="001A07BB"/>
    <w:rsid w:val="001A1BA4"/>
    <w:rsid w:val="001A34A5"/>
    <w:rsid w:val="001A34EC"/>
    <w:rsid w:val="001A373E"/>
    <w:rsid w:val="001A49BF"/>
    <w:rsid w:val="001A4DE4"/>
    <w:rsid w:val="001A65CF"/>
    <w:rsid w:val="001A726C"/>
    <w:rsid w:val="001A7886"/>
    <w:rsid w:val="001B448E"/>
    <w:rsid w:val="001B5107"/>
    <w:rsid w:val="001B65DD"/>
    <w:rsid w:val="001C1FA8"/>
    <w:rsid w:val="001C470A"/>
    <w:rsid w:val="001C74C9"/>
    <w:rsid w:val="001D1156"/>
    <w:rsid w:val="001D1836"/>
    <w:rsid w:val="001D2A6D"/>
    <w:rsid w:val="001D3F8B"/>
    <w:rsid w:val="001D4594"/>
    <w:rsid w:val="001E0311"/>
    <w:rsid w:val="001E08E2"/>
    <w:rsid w:val="001E165B"/>
    <w:rsid w:val="001E262C"/>
    <w:rsid w:val="001E2CFE"/>
    <w:rsid w:val="001F1C8A"/>
    <w:rsid w:val="001F1D8B"/>
    <w:rsid w:val="001F3084"/>
    <w:rsid w:val="001F30F3"/>
    <w:rsid w:val="001F40F6"/>
    <w:rsid w:val="001F6028"/>
    <w:rsid w:val="001F7B41"/>
    <w:rsid w:val="00203C71"/>
    <w:rsid w:val="00205239"/>
    <w:rsid w:val="00205802"/>
    <w:rsid w:val="002063F9"/>
    <w:rsid w:val="00212306"/>
    <w:rsid w:val="00212543"/>
    <w:rsid w:val="00215C38"/>
    <w:rsid w:val="00216DC4"/>
    <w:rsid w:val="002171D6"/>
    <w:rsid w:val="00217B59"/>
    <w:rsid w:val="00220091"/>
    <w:rsid w:val="002210E2"/>
    <w:rsid w:val="0022135F"/>
    <w:rsid w:val="0022378D"/>
    <w:rsid w:val="0022573E"/>
    <w:rsid w:val="00225FE6"/>
    <w:rsid w:val="00227676"/>
    <w:rsid w:val="00230B9B"/>
    <w:rsid w:val="00230F8D"/>
    <w:rsid w:val="00234645"/>
    <w:rsid w:val="00237FB9"/>
    <w:rsid w:val="00241B03"/>
    <w:rsid w:val="002421D4"/>
    <w:rsid w:val="00244155"/>
    <w:rsid w:val="002444BB"/>
    <w:rsid w:val="00244DFA"/>
    <w:rsid w:val="00247055"/>
    <w:rsid w:val="0024707A"/>
    <w:rsid w:val="0025001E"/>
    <w:rsid w:val="00250F2B"/>
    <w:rsid w:val="00252017"/>
    <w:rsid w:val="00252842"/>
    <w:rsid w:val="00256218"/>
    <w:rsid w:val="002607DD"/>
    <w:rsid w:val="0026260E"/>
    <w:rsid w:val="0026439D"/>
    <w:rsid w:val="0026447D"/>
    <w:rsid w:val="0026630B"/>
    <w:rsid w:val="00273CEF"/>
    <w:rsid w:val="0027452C"/>
    <w:rsid w:val="00275F30"/>
    <w:rsid w:val="00280796"/>
    <w:rsid w:val="00281011"/>
    <w:rsid w:val="002819F9"/>
    <w:rsid w:val="00282191"/>
    <w:rsid w:val="002829C3"/>
    <w:rsid w:val="00283CA7"/>
    <w:rsid w:val="00285B93"/>
    <w:rsid w:val="002865E3"/>
    <w:rsid w:val="0028672C"/>
    <w:rsid w:val="00286CC5"/>
    <w:rsid w:val="00291B70"/>
    <w:rsid w:val="0029224B"/>
    <w:rsid w:val="002922A7"/>
    <w:rsid w:val="00293C98"/>
    <w:rsid w:val="00294CB3"/>
    <w:rsid w:val="002954F5"/>
    <w:rsid w:val="0029599F"/>
    <w:rsid w:val="002A02A4"/>
    <w:rsid w:val="002A1068"/>
    <w:rsid w:val="002A1415"/>
    <w:rsid w:val="002A3D61"/>
    <w:rsid w:val="002A57FB"/>
    <w:rsid w:val="002A762F"/>
    <w:rsid w:val="002B0DFE"/>
    <w:rsid w:val="002B0F12"/>
    <w:rsid w:val="002B1E2E"/>
    <w:rsid w:val="002B2D46"/>
    <w:rsid w:val="002B2D8A"/>
    <w:rsid w:val="002B3391"/>
    <w:rsid w:val="002B486D"/>
    <w:rsid w:val="002B5873"/>
    <w:rsid w:val="002B7F55"/>
    <w:rsid w:val="002C212D"/>
    <w:rsid w:val="002C2BF5"/>
    <w:rsid w:val="002C4204"/>
    <w:rsid w:val="002C5358"/>
    <w:rsid w:val="002D07A4"/>
    <w:rsid w:val="002D215B"/>
    <w:rsid w:val="002D2D16"/>
    <w:rsid w:val="002D634B"/>
    <w:rsid w:val="002D7DBB"/>
    <w:rsid w:val="002E11F0"/>
    <w:rsid w:val="002E4E42"/>
    <w:rsid w:val="002E510E"/>
    <w:rsid w:val="002E53F4"/>
    <w:rsid w:val="002E5FF7"/>
    <w:rsid w:val="002F005A"/>
    <w:rsid w:val="002F0D5C"/>
    <w:rsid w:val="002F3870"/>
    <w:rsid w:val="003057DD"/>
    <w:rsid w:val="00306525"/>
    <w:rsid w:val="0030657C"/>
    <w:rsid w:val="00311FC1"/>
    <w:rsid w:val="00312FF8"/>
    <w:rsid w:val="0031331F"/>
    <w:rsid w:val="00316CE5"/>
    <w:rsid w:val="00317925"/>
    <w:rsid w:val="00317AC4"/>
    <w:rsid w:val="00321F03"/>
    <w:rsid w:val="00326C34"/>
    <w:rsid w:val="00331F23"/>
    <w:rsid w:val="00334001"/>
    <w:rsid w:val="0033679D"/>
    <w:rsid w:val="0033718F"/>
    <w:rsid w:val="003378BD"/>
    <w:rsid w:val="00340BAB"/>
    <w:rsid w:val="00341637"/>
    <w:rsid w:val="003431B6"/>
    <w:rsid w:val="00343D2C"/>
    <w:rsid w:val="00346978"/>
    <w:rsid w:val="00346F98"/>
    <w:rsid w:val="003509BE"/>
    <w:rsid w:val="00352D20"/>
    <w:rsid w:val="00352FD1"/>
    <w:rsid w:val="003554E7"/>
    <w:rsid w:val="00356D61"/>
    <w:rsid w:val="00365207"/>
    <w:rsid w:val="00367B82"/>
    <w:rsid w:val="003700A6"/>
    <w:rsid w:val="003710D9"/>
    <w:rsid w:val="00371202"/>
    <w:rsid w:val="00373BD0"/>
    <w:rsid w:val="00375D83"/>
    <w:rsid w:val="00380729"/>
    <w:rsid w:val="00380F7F"/>
    <w:rsid w:val="003846F2"/>
    <w:rsid w:val="00384CC9"/>
    <w:rsid w:val="003867D3"/>
    <w:rsid w:val="003870CC"/>
    <w:rsid w:val="00387B90"/>
    <w:rsid w:val="003907CC"/>
    <w:rsid w:val="00392E21"/>
    <w:rsid w:val="00394283"/>
    <w:rsid w:val="003945DE"/>
    <w:rsid w:val="00395E0A"/>
    <w:rsid w:val="00396476"/>
    <w:rsid w:val="003976F4"/>
    <w:rsid w:val="003A0EEC"/>
    <w:rsid w:val="003A3A07"/>
    <w:rsid w:val="003A4656"/>
    <w:rsid w:val="003B18FD"/>
    <w:rsid w:val="003B23FC"/>
    <w:rsid w:val="003B28D8"/>
    <w:rsid w:val="003B28F2"/>
    <w:rsid w:val="003B2F7D"/>
    <w:rsid w:val="003B332C"/>
    <w:rsid w:val="003B445F"/>
    <w:rsid w:val="003B473E"/>
    <w:rsid w:val="003B4B71"/>
    <w:rsid w:val="003B5163"/>
    <w:rsid w:val="003B569C"/>
    <w:rsid w:val="003B68AD"/>
    <w:rsid w:val="003C0F29"/>
    <w:rsid w:val="003C185E"/>
    <w:rsid w:val="003C2FF9"/>
    <w:rsid w:val="003C3630"/>
    <w:rsid w:val="003C69F8"/>
    <w:rsid w:val="003D1418"/>
    <w:rsid w:val="003D58DB"/>
    <w:rsid w:val="003D5B6D"/>
    <w:rsid w:val="003D6A89"/>
    <w:rsid w:val="003D7DEF"/>
    <w:rsid w:val="003E2AE8"/>
    <w:rsid w:val="003E3EC3"/>
    <w:rsid w:val="003E7A1C"/>
    <w:rsid w:val="003F0248"/>
    <w:rsid w:val="003F0259"/>
    <w:rsid w:val="003F20FF"/>
    <w:rsid w:val="003F2410"/>
    <w:rsid w:val="003F4E45"/>
    <w:rsid w:val="003F5830"/>
    <w:rsid w:val="00400F4A"/>
    <w:rsid w:val="00401674"/>
    <w:rsid w:val="004044E3"/>
    <w:rsid w:val="00405FF2"/>
    <w:rsid w:val="00407FB2"/>
    <w:rsid w:val="0041056C"/>
    <w:rsid w:val="00411F67"/>
    <w:rsid w:val="0041287D"/>
    <w:rsid w:val="00414589"/>
    <w:rsid w:val="00416279"/>
    <w:rsid w:val="00421ABC"/>
    <w:rsid w:val="00426EF2"/>
    <w:rsid w:val="00427E28"/>
    <w:rsid w:val="004308D8"/>
    <w:rsid w:val="00431304"/>
    <w:rsid w:val="00431BEE"/>
    <w:rsid w:val="00431CE0"/>
    <w:rsid w:val="0043332E"/>
    <w:rsid w:val="00433D37"/>
    <w:rsid w:val="00437FCF"/>
    <w:rsid w:val="00440F73"/>
    <w:rsid w:val="004420F4"/>
    <w:rsid w:val="00443933"/>
    <w:rsid w:val="0044483E"/>
    <w:rsid w:val="00444A1C"/>
    <w:rsid w:val="0044571D"/>
    <w:rsid w:val="004460DA"/>
    <w:rsid w:val="00447B25"/>
    <w:rsid w:val="004527DB"/>
    <w:rsid w:val="00452E5F"/>
    <w:rsid w:val="00454402"/>
    <w:rsid w:val="004546EF"/>
    <w:rsid w:val="00455B1B"/>
    <w:rsid w:val="00456498"/>
    <w:rsid w:val="0046161A"/>
    <w:rsid w:val="004633E6"/>
    <w:rsid w:val="00471FE9"/>
    <w:rsid w:val="00472C62"/>
    <w:rsid w:val="00473C3D"/>
    <w:rsid w:val="00475C9B"/>
    <w:rsid w:val="004766E7"/>
    <w:rsid w:val="00476B3E"/>
    <w:rsid w:val="00477FE4"/>
    <w:rsid w:val="00481ED8"/>
    <w:rsid w:val="00484C0C"/>
    <w:rsid w:val="00486035"/>
    <w:rsid w:val="00487032"/>
    <w:rsid w:val="00491DEB"/>
    <w:rsid w:val="00492B11"/>
    <w:rsid w:val="004949D9"/>
    <w:rsid w:val="00494A1E"/>
    <w:rsid w:val="00497340"/>
    <w:rsid w:val="00497EDA"/>
    <w:rsid w:val="004A2F8C"/>
    <w:rsid w:val="004A6976"/>
    <w:rsid w:val="004B0750"/>
    <w:rsid w:val="004B3171"/>
    <w:rsid w:val="004B4CD7"/>
    <w:rsid w:val="004B5DD6"/>
    <w:rsid w:val="004C24FE"/>
    <w:rsid w:val="004C3655"/>
    <w:rsid w:val="004C6CD9"/>
    <w:rsid w:val="004C7CEF"/>
    <w:rsid w:val="004D0519"/>
    <w:rsid w:val="004D13F3"/>
    <w:rsid w:val="004D14B2"/>
    <w:rsid w:val="004D1E67"/>
    <w:rsid w:val="004D2CDA"/>
    <w:rsid w:val="004D30EB"/>
    <w:rsid w:val="004D6917"/>
    <w:rsid w:val="004E170C"/>
    <w:rsid w:val="004E4F58"/>
    <w:rsid w:val="004F3DEA"/>
    <w:rsid w:val="004F4691"/>
    <w:rsid w:val="004F5D00"/>
    <w:rsid w:val="004F6300"/>
    <w:rsid w:val="004F66B5"/>
    <w:rsid w:val="004F786D"/>
    <w:rsid w:val="005002B6"/>
    <w:rsid w:val="00502CD2"/>
    <w:rsid w:val="00504CD3"/>
    <w:rsid w:val="00506116"/>
    <w:rsid w:val="00507BFA"/>
    <w:rsid w:val="00507CDA"/>
    <w:rsid w:val="00511AC0"/>
    <w:rsid w:val="005122DB"/>
    <w:rsid w:val="00521963"/>
    <w:rsid w:val="00521CA5"/>
    <w:rsid w:val="00521D15"/>
    <w:rsid w:val="00521D5B"/>
    <w:rsid w:val="00521E0D"/>
    <w:rsid w:val="00522657"/>
    <w:rsid w:val="005250CF"/>
    <w:rsid w:val="00525EDB"/>
    <w:rsid w:val="005276FD"/>
    <w:rsid w:val="005304DA"/>
    <w:rsid w:val="00531A00"/>
    <w:rsid w:val="00531A87"/>
    <w:rsid w:val="00535124"/>
    <w:rsid w:val="00536782"/>
    <w:rsid w:val="00537AE9"/>
    <w:rsid w:val="005419DA"/>
    <w:rsid w:val="0054202C"/>
    <w:rsid w:val="005421F9"/>
    <w:rsid w:val="00542B27"/>
    <w:rsid w:val="005440FB"/>
    <w:rsid w:val="005449E3"/>
    <w:rsid w:val="00546D13"/>
    <w:rsid w:val="0055085E"/>
    <w:rsid w:val="005519C9"/>
    <w:rsid w:val="00555070"/>
    <w:rsid w:val="005555E3"/>
    <w:rsid w:val="0056097E"/>
    <w:rsid w:val="0056201F"/>
    <w:rsid w:val="005623DD"/>
    <w:rsid w:val="005625BC"/>
    <w:rsid w:val="00562B5B"/>
    <w:rsid w:val="00565665"/>
    <w:rsid w:val="00565BF6"/>
    <w:rsid w:val="00566040"/>
    <w:rsid w:val="00566FA0"/>
    <w:rsid w:val="00567E91"/>
    <w:rsid w:val="00570C14"/>
    <w:rsid w:val="005737A9"/>
    <w:rsid w:val="005756D8"/>
    <w:rsid w:val="00582EC5"/>
    <w:rsid w:val="00587961"/>
    <w:rsid w:val="00590952"/>
    <w:rsid w:val="00591DEB"/>
    <w:rsid w:val="00592C41"/>
    <w:rsid w:val="00594665"/>
    <w:rsid w:val="00594A00"/>
    <w:rsid w:val="005A0BAC"/>
    <w:rsid w:val="005A518E"/>
    <w:rsid w:val="005A68AC"/>
    <w:rsid w:val="005A6E09"/>
    <w:rsid w:val="005A7137"/>
    <w:rsid w:val="005B0A2F"/>
    <w:rsid w:val="005B0F91"/>
    <w:rsid w:val="005B126C"/>
    <w:rsid w:val="005B2A67"/>
    <w:rsid w:val="005B3DF9"/>
    <w:rsid w:val="005B5969"/>
    <w:rsid w:val="005B665E"/>
    <w:rsid w:val="005B7C36"/>
    <w:rsid w:val="005B7F48"/>
    <w:rsid w:val="005C00B2"/>
    <w:rsid w:val="005C025A"/>
    <w:rsid w:val="005C3763"/>
    <w:rsid w:val="005C3A6D"/>
    <w:rsid w:val="005C4308"/>
    <w:rsid w:val="005D04EE"/>
    <w:rsid w:val="005E183D"/>
    <w:rsid w:val="005E68B0"/>
    <w:rsid w:val="005E6BAB"/>
    <w:rsid w:val="005E6C9A"/>
    <w:rsid w:val="005F0482"/>
    <w:rsid w:val="005F0DFE"/>
    <w:rsid w:val="005F0EE5"/>
    <w:rsid w:val="005F0F7C"/>
    <w:rsid w:val="005F1EF6"/>
    <w:rsid w:val="005F425D"/>
    <w:rsid w:val="005F545D"/>
    <w:rsid w:val="005F5780"/>
    <w:rsid w:val="005F63BD"/>
    <w:rsid w:val="00600860"/>
    <w:rsid w:val="00602378"/>
    <w:rsid w:val="006061CD"/>
    <w:rsid w:val="00606F4E"/>
    <w:rsid w:val="006071DA"/>
    <w:rsid w:val="006078DC"/>
    <w:rsid w:val="006113B0"/>
    <w:rsid w:val="00611C1A"/>
    <w:rsid w:val="0061284B"/>
    <w:rsid w:val="00612C7D"/>
    <w:rsid w:val="00615917"/>
    <w:rsid w:val="00616CD0"/>
    <w:rsid w:val="0061776F"/>
    <w:rsid w:val="00617830"/>
    <w:rsid w:val="00620063"/>
    <w:rsid w:val="00620483"/>
    <w:rsid w:val="006214C5"/>
    <w:rsid w:val="00624095"/>
    <w:rsid w:val="0062482F"/>
    <w:rsid w:val="00625D79"/>
    <w:rsid w:val="00626D07"/>
    <w:rsid w:val="006301D8"/>
    <w:rsid w:val="00630CF8"/>
    <w:rsid w:val="006316CE"/>
    <w:rsid w:val="00632367"/>
    <w:rsid w:val="006330EF"/>
    <w:rsid w:val="00633284"/>
    <w:rsid w:val="00633FD1"/>
    <w:rsid w:val="0063416B"/>
    <w:rsid w:val="006345C8"/>
    <w:rsid w:val="006349F6"/>
    <w:rsid w:val="00634E51"/>
    <w:rsid w:val="00634FCF"/>
    <w:rsid w:val="00641333"/>
    <w:rsid w:val="00644ED5"/>
    <w:rsid w:val="00645782"/>
    <w:rsid w:val="00646A82"/>
    <w:rsid w:val="00656100"/>
    <w:rsid w:val="00656119"/>
    <w:rsid w:val="0066034A"/>
    <w:rsid w:val="006618A0"/>
    <w:rsid w:val="00663757"/>
    <w:rsid w:val="00663E7C"/>
    <w:rsid w:val="00665A94"/>
    <w:rsid w:val="0067179F"/>
    <w:rsid w:val="00671AA0"/>
    <w:rsid w:val="00674175"/>
    <w:rsid w:val="006756BB"/>
    <w:rsid w:val="006758E1"/>
    <w:rsid w:val="00676B48"/>
    <w:rsid w:val="006800AF"/>
    <w:rsid w:val="0068020F"/>
    <w:rsid w:val="006812D2"/>
    <w:rsid w:val="00681755"/>
    <w:rsid w:val="006817F7"/>
    <w:rsid w:val="006820B5"/>
    <w:rsid w:val="00682C3E"/>
    <w:rsid w:val="00685D1D"/>
    <w:rsid w:val="006860F7"/>
    <w:rsid w:val="00687D1C"/>
    <w:rsid w:val="006915AA"/>
    <w:rsid w:val="00691B6D"/>
    <w:rsid w:val="00692083"/>
    <w:rsid w:val="006949BE"/>
    <w:rsid w:val="00695D90"/>
    <w:rsid w:val="006966EB"/>
    <w:rsid w:val="00697DD9"/>
    <w:rsid w:val="006A5A5F"/>
    <w:rsid w:val="006A5FB2"/>
    <w:rsid w:val="006A6842"/>
    <w:rsid w:val="006B56A6"/>
    <w:rsid w:val="006B60BD"/>
    <w:rsid w:val="006C430F"/>
    <w:rsid w:val="006C5529"/>
    <w:rsid w:val="006C7381"/>
    <w:rsid w:val="006C781C"/>
    <w:rsid w:val="006D43A9"/>
    <w:rsid w:val="006D68B8"/>
    <w:rsid w:val="006F0080"/>
    <w:rsid w:val="006F0A0E"/>
    <w:rsid w:val="006F14E6"/>
    <w:rsid w:val="006F188F"/>
    <w:rsid w:val="006F18AA"/>
    <w:rsid w:val="006F35B2"/>
    <w:rsid w:val="006F59E3"/>
    <w:rsid w:val="006F7F46"/>
    <w:rsid w:val="00702CBB"/>
    <w:rsid w:val="00705F06"/>
    <w:rsid w:val="00706552"/>
    <w:rsid w:val="00706AAD"/>
    <w:rsid w:val="007104A5"/>
    <w:rsid w:val="00711E85"/>
    <w:rsid w:val="007150D5"/>
    <w:rsid w:val="007206C5"/>
    <w:rsid w:val="00720ABF"/>
    <w:rsid w:val="00720EDF"/>
    <w:rsid w:val="0072112A"/>
    <w:rsid w:val="00721615"/>
    <w:rsid w:val="0072256A"/>
    <w:rsid w:val="00725895"/>
    <w:rsid w:val="007267D7"/>
    <w:rsid w:val="0072729A"/>
    <w:rsid w:val="00730605"/>
    <w:rsid w:val="00731663"/>
    <w:rsid w:val="007321CB"/>
    <w:rsid w:val="007379A9"/>
    <w:rsid w:val="00742EE5"/>
    <w:rsid w:val="007443AB"/>
    <w:rsid w:val="0074488B"/>
    <w:rsid w:val="00744D73"/>
    <w:rsid w:val="0074508B"/>
    <w:rsid w:val="00745CB2"/>
    <w:rsid w:val="007536C3"/>
    <w:rsid w:val="00754EC7"/>
    <w:rsid w:val="007602CB"/>
    <w:rsid w:val="00761A42"/>
    <w:rsid w:val="00761A87"/>
    <w:rsid w:val="00762E74"/>
    <w:rsid w:val="00763123"/>
    <w:rsid w:val="007636FD"/>
    <w:rsid w:val="00763B7D"/>
    <w:rsid w:val="007655F0"/>
    <w:rsid w:val="0076681E"/>
    <w:rsid w:val="0076766B"/>
    <w:rsid w:val="00767DF4"/>
    <w:rsid w:val="00772242"/>
    <w:rsid w:val="007753E5"/>
    <w:rsid w:val="00775631"/>
    <w:rsid w:val="00775B12"/>
    <w:rsid w:val="007770BA"/>
    <w:rsid w:val="00780554"/>
    <w:rsid w:val="00780E07"/>
    <w:rsid w:val="00782A36"/>
    <w:rsid w:val="00782A38"/>
    <w:rsid w:val="00783C7D"/>
    <w:rsid w:val="00785D8F"/>
    <w:rsid w:val="007863AD"/>
    <w:rsid w:val="00786493"/>
    <w:rsid w:val="007868FF"/>
    <w:rsid w:val="00787353"/>
    <w:rsid w:val="00790FA0"/>
    <w:rsid w:val="00791159"/>
    <w:rsid w:val="00791615"/>
    <w:rsid w:val="00792F7A"/>
    <w:rsid w:val="007936EA"/>
    <w:rsid w:val="00793A36"/>
    <w:rsid w:val="007A1D30"/>
    <w:rsid w:val="007A2C2F"/>
    <w:rsid w:val="007A431D"/>
    <w:rsid w:val="007A52B4"/>
    <w:rsid w:val="007A55CD"/>
    <w:rsid w:val="007A6AF7"/>
    <w:rsid w:val="007A790D"/>
    <w:rsid w:val="007B0640"/>
    <w:rsid w:val="007B0FCB"/>
    <w:rsid w:val="007B1BC6"/>
    <w:rsid w:val="007B1C28"/>
    <w:rsid w:val="007B2FD2"/>
    <w:rsid w:val="007B3F99"/>
    <w:rsid w:val="007B61A6"/>
    <w:rsid w:val="007C0B53"/>
    <w:rsid w:val="007C1368"/>
    <w:rsid w:val="007C4811"/>
    <w:rsid w:val="007C5A7A"/>
    <w:rsid w:val="007D0695"/>
    <w:rsid w:val="007D1F11"/>
    <w:rsid w:val="007D3B1E"/>
    <w:rsid w:val="007D3D1C"/>
    <w:rsid w:val="007D3F2E"/>
    <w:rsid w:val="007D46B8"/>
    <w:rsid w:val="007E1275"/>
    <w:rsid w:val="007E167C"/>
    <w:rsid w:val="007E77D1"/>
    <w:rsid w:val="007F14AC"/>
    <w:rsid w:val="007F3EF1"/>
    <w:rsid w:val="007F4479"/>
    <w:rsid w:val="007F6CAD"/>
    <w:rsid w:val="00803ADF"/>
    <w:rsid w:val="0080574B"/>
    <w:rsid w:val="008075D7"/>
    <w:rsid w:val="0081253B"/>
    <w:rsid w:val="0081472E"/>
    <w:rsid w:val="00815BAB"/>
    <w:rsid w:val="008172D0"/>
    <w:rsid w:val="00823B44"/>
    <w:rsid w:val="00823E30"/>
    <w:rsid w:val="00824861"/>
    <w:rsid w:val="00830F54"/>
    <w:rsid w:val="0083271B"/>
    <w:rsid w:val="00834C13"/>
    <w:rsid w:val="008402D5"/>
    <w:rsid w:val="0084287E"/>
    <w:rsid w:val="00843503"/>
    <w:rsid w:val="008451FD"/>
    <w:rsid w:val="00845C99"/>
    <w:rsid w:val="008473CD"/>
    <w:rsid w:val="008477DA"/>
    <w:rsid w:val="0085102E"/>
    <w:rsid w:val="0085400D"/>
    <w:rsid w:val="00854154"/>
    <w:rsid w:val="008541F6"/>
    <w:rsid w:val="0085430B"/>
    <w:rsid w:val="00855862"/>
    <w:rsid w:val="00860EF7"/>
    <w:rsid w:val="008650D2"/>
    <w:rsid w:val="00865728"/>
    <w:rsid w:val="008663C8"/>
    <w:rsid w:val="00866E6A"/>
    <w:rsid w:val="00866EE5"/>
    <w:rsid w:val="008722FA"/>
    <w:rsid w:val="008752FA"/>
    <w:rsid w:val="0087562A"/>
    <w:rsid w:val="0088017A"/>
    <w:rsid w:val="008814B0"/>
    <w:rsid w:val="00882061"/>
    <w:rsid w:val="00883FD6"/>
    <w:rsid w:val="00886CC2"/>
    <w:rsid w:val="00886D38"/>
    <w:rsid w:val="00887789"/>
    <w:rsid w:val="008906EE"/>
    <w:rsid w:val="00891390"/>
    <w:rsid w:val="008916EF"/>
    <w:rsid w:val="008924D1"/>
    <w:rsid w:val="008930A9"/>
    <w:rsid w:val="008A12DD"/>
    <w:rsid w:val="008A41D3"/>
    <w:rsid w:val="008A4E5D"/>
    <w:rsid w:val="008B2096"/>
    <w:rsid w:val="008C15A2"/>
    <w:rsid w:val="008C32DC"/>
    <w:rsid w:val="008C622F"/>
    <w:rsid w:val="008C6325"/>
    <w:rsid w:val="008D09D8"/>
    <w:rsid w:val="008D147F"/>
    <w:rsid w:val="008D238F"/>
    <w:rsid w:val="008D3A8C"/>
    <w:rsid w:val="008D3EE8"/>
    <w:rsid w:val="008D4F12"/>
    <w:rsid w:val="008D748A"/>
    <w:rsid w:val="008E06FA"/>
    <w:rsid w:val="008E1777"/>
    <w:rsid w:val="008E34A8"/>
    <w:rsid w:val="008E6B12"/>
    <w:rsid w:val="008E7DEE"/>
    <w:rsid w:val="008F058F"/>
    <w:rsid w:val="008F11EF"/>
    <w:rsid w:val="008F3B8B"/>
    <w:rsid w:val="008F69A2"/>
    <w:rsid w:val="008F71B2"/>
    <w:rsid w:val="00900E88"/>
    <w:rsid w:val="0090138B"/>
    <w:rsid w:val="009018C9"/>
    <w:rsid w:val="009052AC"/>
    <w:rsid w:val="009072B1"/>
    <w:rsid w:val="009107AB"/>
    <w:rsid w:val="00910A7E"/>
    <w:rsid w:val="00912A4D"/>
    <w:rsid w:val="00914913"/>
    <w:rsid w:val="0091494D"/>
    <w:rsid w:val="00916C51"/>
    <w:rsid w:val="00917CC6"/>
    <w:rsid w:val="00922FE7"/>
    <w:rsid w:val="00923136"/>
    <w:rsid w:val="00925CA0"/>
    <w:rsid w:val="0092633C"/>
    <w:rsid w:val="00927582"/>
    <w:rsid w:val="009314C4"/>
    <w:rsid w:val="00933AD6"/>
    <w:rsid w:val="00934AA8"/>
    <w:rsid w:val="0094019A"/>
    <w:rsid w:val="009402ED"/>
    <w:rsid w:val="00940574"/>
    <w:rsid w:val="00940C1A"/>
    <w:rsid w:val="00943C5A"/>
    <w:rsid w:val="009530D1"/>
    <w:rsid w:val="009554A0"/>
    <w:rsid w:val="009562CF"/>
    <w:rsid w:val="00957551"/>
    <w:rsid w:val="00961C22"/>
    <w:rsid w:val="00961F34"/>
    <w:rsid w:val="009624C1"/>
    <w:rsid w:val="0096460D"/>
    <w:rsid w:val="00964A6F"/>
    <w:rsid w:val="0096595B"/>
    <w:rsid w:val="00967408"/>
    <w:rsid w:val="009729FD"/>
    <w:rsid w:val="009752B7"/>
    <w:rsid w:val="009801EB"/>
    <w:rsid w:val="00981340"/>
    <w:rsid w:val="00981C37"/>
    <w:rsid w:val="00981D13"/>
    <w:rsid w:val="00982248"/>
    <w:rsid w:val="0098550C"/>
    <w:rsid w:val="00985B7B"/>
    <w:rsid w:val="00986C35"/>
    <w:rsid w:val="00987576"/>
    <w:rsid w:val="00987B6C"/>
    <w:rsid w:val="009904D1"/>
    <w:rsid w:val="00990DBE"/>
    <w:rsid w:val="009918E3"/>
    <w:rsid w:val="009927D1"/>
    <w:rsid w:val="00996035"/>
    <w:rsid w:val="009A11FF"/>
    <w:rsid w:val="009A140D"/>
    <w:rsid w:val="009A24BB"/>
    <w:rsid w:val="009A2DE5"/>
    <w:rsid w:val="009B2041"/>
    <w:rsid w:val="009B26BA"/>
    <w:rsid w:val="009B315D"/>
    <w:rsid w:val="009B44AB"/>
    <w:rsid w:val="009B47C9"/>
    <w:rsid w:val="009B4D6C"/>
    <w:rsid w:val="009B4E1D"/>
    <w:rsid w:val="009B5178"/>
    <w:rsid w:val="009B5727"/>
    <w:rsid w:val="009B7DC8"/>
    <w:rsid w:val="009C1463"/>
    <w:rsid w:val="009C2153"/>
    <w:rsid w:val="009C2902"/>
    <w:rsid w:val="009C3D82"/>
    <w:rsid w:val="009C4892"/>
    <w:rsid w:val="009C4F59"/>
    <w:rsid w:val="009C55EB"/>
    <w:rsid w:val="009D03BA"/>
    <w:rsid w:val="009D1972"/>
    <w:rsid w:val="009D2C3D"/>
    <w:rsid w:val="009D471D"/>
    <w:rsid w:val="009D4FD5"/>
    <w:rsid w:val="009D50E5"/>
    <w:rsid w:val="009D7A87"/>
    <w:rsid w:val="009E24A1"/>
    <w:rsid w:val="009E2A2A"/>
    <w:rsid w:val="009E3A96"/>
    <w:rsid w:val="009E3CE5"/>
    <w:rsid w:val="009E5757"/>
    <w:rsid w:val="009F1D54"/>
    <w:rsid w:val="009F35CE"/>
    <w:rsid w:val="009F41A8"/>
    <w:rsid w:val="009F44A0"/>
    <w:rsid w:val="009F7021"/>
    <w:rsid w:val="00A0214A"/>
    <w:rsid w:val="00A04C62"/>
    <w:rsid w:val="00A0583B"/>
    <w:rsid w:val="00A06198"/>
    <w:rsid w:val="00A1031E"/>
    <w:rsid w:val="00A108A5"/>
    <w:rsid w:val="00A10902"/>
    <w:rsid w:val="00A110EA"/>
    <w:rsid w:val="00A111A7"/>
    <w:rsid w:val="00A12260"/>
    <w:rsid w:val="00A12E01"/>
    <w:rsid w:val="00A13EAF"/>
    <w:rsid w:val="00A1501E"/>
    <w:rsid w:val="00A21925"/>
    <w:rsid w:val="00A23308"/>
    <w:rsid w:val="00A234C1"/>
    <w:rsid w:val="00A2415B"/>
    <w:rsid w:val="00A243F7"/>
    <w:rsid w:val="00A24CCF"/>
    <w:rsid w:val="00A259BF"/>
    <w:rsid w:val="00A31508"/>
    <w:rsid w:val="00A3174B"/>
    <w:rsid w:val="00A31F3B"/>
    <w:rsid w:val="00A32A3E"/>
    <w:rsid w:val="00A32E6E"/>
    <w:rsid w:val="00A3353E"/>
    <w:rsid w:val="00A343D8"/>
    <w:rsid w:val="00A4011B"/>
    <w:rsid w:val="00A40B19"/>
    <w:rsid w:val="00A40D9C"/>
    <w:rsid w:val="00A414B0"/>
    <w:rsid w:val="00A504F5"/>
    <w:rsid w:val="00A5135B"/>
    <w:rsid w:val="00A5137C"/>
    <w:rsid w:val="00A53DDC"/>
    <w:rsid w:val="00A5668C"/>
    <w:rsid w:val="00A56D27"/>
    <w:rsid w:val="00A57514"/>
    <w:rsid w:val="00A61762"/>
    <w:rsid w:val="00A619DD"/>
    <w:rsid w:val="00A631F0"/>
    <w:rsid w:val="00A6391E"/>
    <w:rsid w:val="00A63C53"/>
    <w:rsid w:val="00A64090"/>
    <w:rsid w:val="00A641E8"/>
    <w:rsid w:val="00A6599E"/>
    <w:rsid w:val="00A703D5"/>
    <w:rsid w:val="00A72441"/>
    <w:rsid w:val="00A72944"/>
    <w:rsid w:val="00A741F3"/>
    <w:rsid w:val="00A7422E"/>
    <w:rsid w:val="00A746CD"/>
    <w:rsid w:val="00A748CE"/>
    <w:rsid w:val="00A7617F"/>
    <w:rsid w:val="00A77743"/>
    <w:rsid w:val="00A80457"/>
    <w:rsid w:val="00A83B8A"/>
    <w:rsid w:val="00A84A2F"/>
    <w:rsid w:val="00A85C81"/>
    <w:rsid w:val="00A85FE5"/>
    <w:rsid w:val="00A86955"/>
    <w:rsid w:val="00A906E4"/>
    <w:rsid w:val="00A90B41"/>
    <w:rsid w:val="00A92AE9"/>
    <w:rsid w:val="00A93079"/>
    <w:rsid w:val="00A930FE"/>
    <w:rsid w:val="00A95B16"/>
    <w:rsid w:val="00A96773"/>
    <w:rsid w:val="00A96EAD"/>
    <w:rsid w:val="00AA19EC"/>
    <w:rsid w:val="00AA1AC5"/>
    <w:rsid w:val="00AA2C6B"/>
    <w:rsid w:val="00AA4B19"/>
    <w:rsid w:val="00AA5575"/>
    <w:rsid w:val="00AA60D3"/>
    <w:rsid w:val="00AB0F81"/>
    <w:rsid w:val="00AB101F"/>
    <w:rsid w:val="00AB1D62"/>
    <w:rsid w:val="00AB23D5"/>
    <w:rsid w:val="00AB4E0C"/>
    <w:rsid w:val="00AB791B"/>
    <w:rsid w:val="00AC03E0"/>
    <w:rsid w:val="00AC043D"/>
    <w:rsid w:val="00AC500C"/>
    <w:rsid w:val="00AC68C0"/>
    <w:rsid w:val="00AC7C23"/>
    <w:rsid w:val="00AD073C"/>
    <w:rsid w:val="00AD0C9F"/>
    <w:rsid w:val="00AD63E3"/>
    <w:rsid w:val="00AE0D35"/>
    <w:rsid w:val="00AE3A8D"/>
    <w:rsid w:val="00AE3CB0"/>
    <w:rsid w:val="00AE3FC5"/>
    <w:rsid w:val="00AE4424"/>
    <w:rsid w:val="00AE5D6E"/>
    <w:rsid w:val="00AE73E7"/>
    <w:rsid w:val="00AF2179"/>
    <w:rsid w:val="00AF3A40"/>
    <w:rsid w:val="00AF49C0"/>
    <w:rsid w:val="00AF4D4E"/>
    <w:rsid w:val="00AF537E"/>
    <w:rsid w:val="00AF705B"/>
    <w:rsid w:val="00AF7241"/>
    <w:rsid w:val="00AF74EB"/>
    <w:rsid w:val="00B00163"/>
    <w:rsid w:val="00B001BC"/>
    <w:rsid w:val="00B0177D"/>
    <w:rsid w:val="00B02198"/>
    <w:rsid w:val="00B03B84"/>
    <w:rsid w:val="00B0613C"/>
    <w:rsid w:val="00B1310A"/>
    <w:rsid w:val="00B1430E"/>
    <w:rsid w:val="00B1556F"/>
    <w:rsid w:val="00B213E7"/>
    <w:rsid w:val="00B21E27"/>
    <w:rsid w:val="00B22A7F"/>
    <w:rsid w:val="00B23C82"/>
    <w:rsid w:val="00B250A4"/>
    <w:rsid w:val="00B25598"/>
    <w:rsid w:val="00B26064"/>
    <w:rsid w:val="00B26757"/>
    <w:rsid w:val="00B32A75"/>
    <w:rsid w:val="00B32C63"/>
    <w:rsid w:val="00B35C0E"/>
    <w:rsid w:val="00B41BF2"/>
    <w:rsid w:val="00B43636"/>
    <w:rsid w:val="00B44556"/>
    <w:rsid w:val="00B45522"/>
    <w:rsid w:val="00B45FB8"/>
    <w:rsid w:val="00B46C22"/>
    <w:rsid w:val="00B470BD"/>
    <w:rsid w:val="00B55912"/>
    <w:rsid w:val="00B55BEC"/>
    <w:rsid w:val="00B55FA3"/>
    <w:rsid w:val="00B566CA"/>
    <w:rsid w:val="00B57176"/>
    <w:rsid w:val="00B60509"/>
    <w:rsid w:val="00B63325"/>
    <w:rsid w:val="00B63B6D"/>
    <w:rsid w:val="00B63DAB"/>
    <w:rsid w:val="00B72DDD"/>
    <w:rsid w:val="00B74C8B"/>
    <w:rsid w:val="00B751DB"/>
    <w:rsid w:val="00B76114"/>
    <w:rsid w:val="00B76988"/>
    <w:rsid w:val="00B774C2"/>
    <w:rsid w:val="00B77CD1"/>
    <w:rsid w:val="00B8016F"/>
    <w:rsid w:val="00B8296C"/>
    <w:rsid w:val="00B85760"/>
    <w:rsid w:val="00B85AD6"/>
    <w:rsid w:val="00B8692A"/>
    <w:rsid w:val="00B94B5C"/>
    <w:rsid w:val="00B95E89"/>
    <w:rsid w:val="00BA0F55"/>
    <w:rsid w:val="00BA26C8"/>
    <w:rsid w:val="00BA3299"/>
    <w:rsid w:val="00BA37D1"/>
    <w:rsid w:val="00BA6DD8"/>
    <w:rsid w:val="00BA7E60"/>
    <w:rsid w:val="00BB043A"/>
    <w:rsid w:val="00BB0565"/>
    <w:rsid w:val="00BB0FCE"/>
    <w:rsid w:val="00BB135D"/>
    <w:rsid w:val="00BB2413"/>
    <w:rsid w:val="00BB5944"/>
    <w:rsid w:val="00BB5ECA"/>
    <w:rsid w:val="00BC0509"/>
    <w:rsid w:val="00BC2B8A"/>
    <w:rsid w:val="00BC45AC"/>
    <w:rsid w:val="00BC4890"/>
    <w:rsid w:val="00BC4B99"/>
    <w:rsid w:val="00BC6477"/>
    <w:rsid w:val="00BC67E6"/>
    <w:rsid w:val="00BC7C24"/>
    <w:rsid w:val="00BD0F5B"/>
    <w:rsid w:val="00BD1A4E"/>
    <w:rsid w:val="00BD264C"/>
    <w:rsid w:val="00BD30F2"/>
    <w:rsid w:val="00BE2888"/>
    <w:rsid w:val="00BE2AB6"/>
    <w:rsid w:val="00BE758C"/>
    <w:rsid w:val="00BF12CD"/>
    <w:rsid w:val="00BF17BD"/>
    <w:rsid w:val="00BF1934"/>
    <w:rsid w:val="00BF1FEE"/>
    <w:rsid w:val="00C01414"/>
    <w:rsid w:val="00C06E6E"/>
    <w:rsid w:val="00C1129D"/>
    <w:rsid w:val="00C11ED1"/>
    <w:rsid w:val="00C12619"/>
    <w:rsid w:val="00C13E72"/>
    <w:rsid w:val="00C143B4"/>
    <w:rsid w:val="00C1468B"/>
    <w:rsid w:val="00C167A4"/>
    <w:rsid w:val="00C17F65"/>
    <w:rsid w:val="00C2021A"/>
    <w:rsid w:val="00C2054F"/>
    <w:rsid w:val="00C20752"/>
    <w:rsid w:val="00C20DD1"/>
    <w:rsid w:val="00C21BBE"/>
    <w:rsid w:val="00C23CC3"/>
    <w:rsid w:val="00C26736"/>
    <w:rsid w:val="00C26E42"/>
    <w:rsid w:val="00C314EF"/>
    <w:rsid w:val="00C353DF"/>
    <w:rsid w:val="00C356BC"/>
    <w:rsid w:val="00C35DA4"/>
    <w:rsid w:val="00C363CC"/>
    <w:rsid w:val="00C36B06"/>
    <w:rsid w:val="00C41932"/>
    <w:rsid w:val="00C4281E"/>
    <w:rsid w:val="00C44C45"/>
    <w:rsid w:val="00C45DAA"/>
    <w:rsid w:val="00C46ADC"/>
    <w:rsid w:val="00C47C23"/>
    <w:rsid w:val="00C47D5D"/>
    <w:rsid w:val="00C47E82"/>
    <w:rsid w:val="00C62026"/>
    <w:rsid w:val="00C62626"/>
    <w:rsid w:val="00C73AAA"/>
    <w:rsid w:val="00C74329"/>
    <w:rsid w:val="00C761A9"/>
    <w:rsid w:val="00C8089F"/>
    <w:rsid w:val="00C81071"/>
    <w:rsid w:val="00C81FBF"/>
    <w:rsid w:val="00C8233A"/>
    <w:rsid w:val="00C83AC9"/>
    <w:rsid w:val="00C8554E"/>
    <w:rsid w:val="00C90A37"/>
    <w:rsid w:val="00C9150C"/>
    <w:rsid w:val="00C9370C"/>
    <w:rsid w:val="00C93B21"/>
    <w:rsid w:val="00C95919"/>
    <w:rsid w:val="00C969AA"/>
    <w:rsid w:val="00CA1850"/>
    <w:rsid w:val="00CA19D8"/>
    <w:rsid w:val="00CA290C"/>
    <w:rsid w:val="00CA316C"/>
    <w:rsid w:val="00CA474E"/>
    <w:rsid w:val="00CA64E4"/>
    <w:rsid w:val="00CB3BF0"/>
    <w:rsid w:val="00CB4E70"/>
    <w:rsid w:val="00CB6DAE"/>
    <w:rsid w:val="00CB7CA6"/>
    <w:rsid w:val="00CC4A5E"/>
    <w:rsid w:val="00CC4F30"/>
    <w:rsid w:val="00CC56ED"/>
    <w:rsid w:val="00CC6F2F"/>
    <w:rsid w:val="00CD0844"/>
    <w:rsid w:val="00CD2695"/>
    <w:rsid w:val="00CD390D"/>
    <w:rsid w:val="00CD4974"/>
    <w:rsid w:val="00CD4CA0"/>
    <w:rsid w:val="00CD4E77"/>
    <w:rsid w:val="00CD5B52"/>
    <w:rsid w:val="00CE1D4B"/>
    <w:rsid w:val="00CE2DEA"/>
    <w:rsid w:val="00CE53C3"/>
    <w:rsid w:val="00CF3DF4"/>
    <w:rsid w:val="00CF4FCF"/>
    <w:rsid w:val="00CF7391"/>
    <w:rsid w:val="00CF788B"/>
    <w:rsid w:val="00CF7F1C"/>
    <w:rsid w:val="00D01373"/>
    <w:rsid w:val="00D03874"/>
    <w:rsid w:val="00D07C53"/>
    <w:rsid w:val="00D125AD"/>
    <w:rsid w:val="00D13EEF"/>
    <w:rsid w:val="00D1419A"/>
    <w:rsid w:val="00D15B5F"/>
    <w:rsid w:val="00D177E5"/>
    <w:rsid w:val="00D201E3"/>
    <w:rsid w:val="00D2259C"/>
    <w:rsid w:val="00D24074"/>
    <w:rsid w:val="00D245DD"/>
    <w:rsid w:val="00D26383"/>
    <w:rsid w:val="00D304A8"/>
    <w:rsid w:val="00D319B5"/>
    <w:rsid w:val="00D4078F"/>
    <w:rsid w:val="00D426A3"/>
    <w:rsid w:val="00D445E6"/>
    <w:rsid w:val="00D44F96"/>
    <w:rsid w:val="00D46F40"/>
    <w:rsid w:val="00D47048"/>
    <w:rsid w:val="00D471F9"/>
    <w:rsid w:val="00D501F1"/>
    <w:rsid w:val="00D51956"/>
    <w:rsid w:val="00D566F8"/>
    <w:rsid w:val="00D6159F"/>
    <w:rsid w:val="00D62443"/>
    <w:rsid w:val="00D656BD"/>
    <w:rsid w:val="00D675BC"/>
    <w:rsid w:val="00D70930"/>
    <w:rsid w:val="00D7093A"/>
    <w:rsid w:val="00D735CD"/>
    <w:rsid w:val="00D744F5"/>
    <w:rsid w:val="00D74EF4"/>
    <w:rsid w:val="00D76287"/>
    <w:rsid w:val="00D779BB"/>
    <w:rsid w:val="00D77DEB"/>
    <w:rsid w:val="00D80A42"/>
    <w:rsid w:val="00D812C4"/>
    <w:rsid w:val="00D913BC"/>
    <w:rsid w:val="00D92310"/>
    <w:rsid w:val="00D92F05"/>
    <w:rsid w:val="00D94BF6"/>
    <w:rsid w:val="00D95763"/>
    <w:rsid w:val="00D95A92"/>
    <w:rsid w:val="00D9656B"/>
    <w:rsid w:val="00DA02AA"/>
    <w:rsid w:val="00DA0A2A"/>
    <w:rsid w:val="00DA13DF"/>
    <w:rsid w:val="00DA17BA"/>
    <w:rsid w:val="00DA2AC0"/>
    <w:rsid w:val="00DA329B"/>
    <w:rsid w:val="00DA3E17"/>
    <w:rsid w:val="00DA453B"/>
    <w:rsid w:val="00DA5BB5"/>
    <w:rsid w:val="00DA5ED0"/>
    <w:rsid w:val="00DA7E78"/>
    <w:rsid w:val="00DB00B4"/>
    <w:rsid w:val="00DB1DBA"/>
    <w:rsid w:val="00DB246D"/>
    <w:rsid w:val="00DB3FE4"/>
    <w:rsid w:val="00DB7BFE"/>
    <w:rsid w:val="00DC0D19"/>
    <w:rsid w:val="00DC2410"/>
    <w:rsid w:val="00DD02DF"/>
    <w:rsid w:val="00DD2391"/>
    <w:rsid w:val="00DD3CB1"/>
    <w:rsid w:val="00DD5703"/>
    <w:rsid w:val="00DD6140"/>
    <w:rsid w:val="00DE28D3"/>
    <w:rsid w:val="00DE6ACF"/>
    <w:rsid w:val="00DF467B"/>
    <w:rsid w:val="00E020BF"/>
    <w:rsid w:val="00E02CC7"/>
    <w:rsid w:val="00E03F8D"/>
    <w:rsid w:val="00E057D0"/>
    <w:rsid w:val="00E109EF"/>
    <w:rsid w:val="00E1108C"/>
    <w:rsid w:val="00E11BBD"/>
    <w:rsid w:val="00E14FEC"/>
    <w:rsid w:val="00E15F61"/>
    <w:rsid w:val="00E16F94"/>
    <w:rsid w:val="00E17D43"/>
    <w:rsid w:val="00E20417"/>
    <w:rsid w:val="00E20C41"/>
    <w:rsid w:val="00E22755"/>
    <w:rsid w:val="00E25209"/>
    <w:rsid w:val="00E25369"/>
    <w:rsid w:val="00E26805"/>
    <w:rsid w:val="00E3229C"/>
    <w:rsid w:val="00E4156E"/>
    <w:rsid w:val="00E4164F"/>
    <w:rsid w:val="00E43F36"/>
    <w:rsid w:val="00E45109"/>
    <w:rsid w:val="00E45545"/>
    <w:rsid w:val="00E50027"/>
    <w:rsid w:val="00E51187"/>
    <w:rsid w:val="00E518EF"/>
    <w:rsid w:val="00E54035"/>
    <w:rsid w:val="00E565AF"/>
    <w:rsid w:val="00E578F2"/>
    <w:rsid w:val="00E57C2A"/>
    <w:rsid w:val="00E6361E"/>
    <w:rsid w:val="00E64BCF"/>
    <w:rsid w:val="00E6583F"/>
    <w:rsid w:val="00E65C54"/>
    <w:rsid w:val="00E73124"/>
    <w:rsid w:val="00E7343C"/>
    <w:rsid w:val="00E737DF"/>
    <w:rsid w:val="00E74122"/>
    <w:rsid w:val="00E758CA"/>
    <w:rsid w:val="00E76D91"/>
    <w:rsid w:val="00E77640"/>
    <w:rsid w:val="00E811B9"/>
    <w:rsid w:val="00E83E5D"/>
    <w:rsid w:val="00E85BA9"/>
    <w:rsid w:val="00E87946"/>
    <w:rsid w:val="00E95DFA"/>
    <w:rsid w:val="00EA1475"/>
    <w:rsid w:val="00EA2356"/>
    <w:rsid w:val="00EA6D83"/>
    <w:rsid w:val="00EA7509"/>
    <w:rsid w:val="00EB0FA8"/>
    <w:rsid w:val="00EB5871"/>
    <w:rsid w:val="00EB5B7B"/>
    <w:rsid w:val="00EB5C31"/>
    <w:rsid w:val="00EB5C88"/>
    <w:rsid w:val="00EB7667"/>
    <w:rsid w:val="00EC664B"/>
    <w:rsid w:val="00EC72C2"/>
    <w:rsid w:val="00ED0B4E"/>
    <w:rsid w:val="00ED13B2"/>
    <w:rsid w:val="00ED17AC"/>
    <w:rsid w:val="00ED6A6F"/>
    <w:rsid w:val="00ED733B"/>
    <w:rsid w:val="00EE219D"/>
    <w:rsid w:val="00EE2651"/>
    <w:rsid w:val="00EE2A4D"/>
    <w:rsid w:val="00EE3901"/>
    <w:rsid w:val="00EE4094"/>
    <w:rsid w:val="00EE4837"/>
    <w:rsid w:val="00EE4ACC"/>
    <w:rsid w:val="00EE749F"/>
    <w:rsid w:val="00EF0BEF"/>
    <w:rsid w:val="00EF1C8D"/>
    <w:rsid w:val="00EF3747"/>
    <w:rsid w:val="00EF43AA"/>
    <w:rsid w:val="00EF4C84"/>
    <w:rsid w:val="00EF54ED"/>
    <w:rsid w:val="00EF7741"/>
    <w:rsid w:val="00F01B03"/>
    <w:rsid w:val="00F0208C"/>
    <w:rsid w:val="00F02A1F"/>
    <w:rsid w:val="00F02D78"/>
    <w:rsid w:val="00F044CE"/>
    <w:rsid w:val="00F05097"/>
    <w:rsid w:val="00F06A12"/>
    <w:rsid w:val="00F07016"/>
    <w:rsid w:val="00F074A2"/>
    <w:rsid w:val="00F1012E"/>
    <w:rsid w:val="00F117F3"/>
    <w:rsid w:val="00F135DB"/>
    <w:rsid w:val="00F139A6"/>
    <w:rsid w:val="00F13B82"/>
    <w:rsid w:val="00F14825"/>
    <w:rsid w:val="00F14B37"/>
    <w:rsid w:val="00F15C5D"/>
    <w:rsid w:val="00F15FA2"/>
    <w:rsid w:val="00F1639F"/>
    <w:rsid w:val="00F216A1"/>
    <w:rsid w:val="00F247CD"/>
    <w:rsid w:val="00F25BC5"/>
    <w:rsid w:val="00F26C38"/>
    <w:rsid w:val="00F32112"/>
    <w:rsid w:val="00F32E13"/>
    <w:rsid w:val="00F34D79"/>
    <w:rsid w:val="00F358B5"/>
    <w:rsid w:val="00F37007"/>
    <w:rsid w:val="00F3710B"/>
    <w:rsid w:val="00F4124A"/>
    <w:rsid w:val="00F43238"/>
    <w:rsid w:val="00F43283"/>
    <w:rsid w:val="00F43F77"/>
    <w:rsid w:val="00F440EC"/>
    <w:rsid w:val="00F44697"/>
    <w:rsid w:val="00F44B0C"/>
    <w:rsid w:val="00F44BC4"/>
    <w:rsid w:val="00F45931"/>
    <w:rsid w:val="00F459A0"/>
    <w:rsid w:val="00F45A3D"/>
    <w:rsid w:val="00F477D1"/>
    <w:rsid w:val="00F50D83"/>
    <w:rsid w:val="00F5189B"/>
    <w:rsid w:val="00F53757"/>
    <w:rsid w:val="00F53BF4"/>
    <w:rsid w:val="00F57C31"/>
    <w:rsid w:val="00F57C70"/>
    <w:rsid w:val="00F60AC4"/>
    <w:rsid w:val="00F63062"/>
    <w:rsid w:val="00F630D9"/>
    <w:rsid w:val="00F634BB"/>
    <w:rsid w:val="00F63EBE"/>
    <w:rsid w:val="00F64BAF"/>
    <w:rsid w:val="00F65E8F"/>
    <w:rsid w:val="00F67257"/>
    <w:rsid w:val="00F677FA"/>
    <w:rsid w:val="00F70539"/>
    <w:rsid w:val="00F710CB"/>
    <w:rsid w:val="00F7245E"/>
    <w:rsid w:val="00F73C71"/>
    <w:rsid w:val="00F756B4"/>
    <w:rsid w:val="00F77F15"/>
    <w:rsid w:val="00F8074C"/>
    <w:rsid w:val="00F812C3"/>
    <w:rsid w:val="00F825F9"/>
    <w:rsid w:val="00F83F59"/>
    <w:rsid w:val="00F85806"/>
    <w:rsid w:val="00F86437"/>
    <w:rsid w:val="00F925AE"/>
    <w:rsid w:val="00F92FE7"/>
    <w:rsid w:val="00F940BE"/>
    <w:rsid w:val="00F962B5"/>
    <w:rsid w:val="00FA0A42"/>
    <w:rsid w:val="00FA0A7B"/>
    <w:rsid w:val="00FA1397"/>
    <w:rsid w:val="00FA2802"/>
    <w:rsid w:val="00FA3398"/>
    <w:rsid w:val="00FA48D7"/>
    <w:rsid w:val="00FA665A"/>
    <w:rsid w:val="00FB1107"/>
    <w:rsid w:val="00FB1AC9"/>
    <w:rsid w:val="00FB2F09"/>
    <w:rsid w:val="00FB3168"/>
    <w:rsid w:val="00FB43A0"/>
    <w:rsid w:val="00FB5E45"/>
    <w:rsid w:val="00FB61BA"/>
    <w:rsid w:val="00FC1524"/>
    <w:rsid w:val="00FC19DF"/>
    <w:rsid w:val="00FC48A5"/>
    <w:rsid w:val="00FC54D8"/>
    <w:rsid w:val="00FC55FF"/>
    <w:rsid w:val="00FC60C7"/>
    <w:rsid w:val="00FC7707"/>
    <w:rsid w:val="00FD1A58"/>
    <w:rsid w:val="00FD4044"/>
    <w:rsid w:val="00FE40A4"/>
    <w:rsid w:val="00FE6EE4"/>
    <w:rsid w:val="00FF0306"/>
    <w:rsid w:val="00FF39B9"/>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415"/>
    <w:rPr>
      <w:rFonts w:ascii="Arial" w:hAnsi="Arial"/>
      <w:szCs w:val="24"/>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tabs>
        <w:tab w:val="left" w:pos="1080"/>
        <w:tab w:val="right" w:pos="9360"/>
      </w:tabs>
      <w:ind w:left="360"/>
      <w:outlineLvl w:val="3"/>
    </w:pPr>
    <w:rPr>
      <w:b/>
      <w:bCs/>
    </w:rPr>
  </w:style>
  <w:style w:type="paragraph" w:styleId="Heading5">
    <w:name w:val="heading 5"/>
    <w:basedOn w:val="Normal"/>
    <w:next w:val="Normal"/>
    <w:qFormat/>
    <w:rsid w:val="00633284"/>
    <w:pPr>
      <w:spacing w:before="240" w:after="60"/>
      <w:outlineLvl w:val="4"/>
    </w:pPr>
    <w:rPr>
      <w:b/>
      <w:bCs/>
      <w:i/>
      <w:iCs/>
      <w:sz w:val="26"/>
      <w:szCs w:val="26"/>
    </w:rPr>
  </w:style>
  <w:style w:type="paragraph" w:styleId="Heading6">
    <w:name w:val="heading 6"/>
    <w:basedOn w:val="Normal"/>
    <w:next w:val="Normal"/>
    <w:qFormat/>
    <w:rsid w:val="0063328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pPr>
      <w:numPr>
        <w:numId w:val="1"/>
      </w:numPr>
    </w:pPr>
    <w:rPr>
      <w:b/>
      <w:caps/>
      <w:sz w:val="24"/>
    </w:rPr>
  </w:style>
  <w:style w:type="paragraph" w:customStyle="1" w:styleId="CLAUSEHEADING">
    <w:name w:val="CLAUSEHEADING"/>
    <w:basedOn w:val="Normal"/>
    <w:next w:val="Clause"/>
    <w:link w:val="CLAUSEHEADINGChar"/>
    <w:pPr>
      <w:keepNext/>
      <w:numPr>
        <w:ilvl w:val="1"/>
        <w:numId w:val="1"/>
      </w:numPr>
      <w:spacing w:before="300"/>
    </w:pPr>
    <w:rPr>
      <w:b/>
      <w:caps/>
    </w:rPr>
  </w:style>
  <w:style w:type="paragraph" w:customStyle="1" w:styleId="Clause">
    <w:name w:val="Clause"/>
    <w:basedOn w:val="Normal"/>
    <w:link w:val="ClauseChar"/>
    <w:pPr>
      <w:numPr>
        <w:ilvl w:val="2"/>
        <w:numId w:val="1"/>
      </w:num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pPr>
      <w:numPr>
        <w:ilvl w:val="3"/>
        <w:numId w:val="1"/>
      </w:numPr>
      <w:spacing w:before="100"/>
    </w:pPr>
  </w:style>
  <w:style w:type="paragraph" w:customStyle="1" w:styleId="ClauseSubList">
    <w:name w:val="ClauseSubList"/>
    <w:basedOn w:val="Normal"/>
    <w:link w:val="ClauseSubListChar"/>
    <w:pPr>
      <w:numPr>
        <w:ilvl w:val="4"/>
        <w:numId w:val="1"/>
      </w:numPr>
      <w:spacing w:before="60"/>
    </w:pPr>
  </w:style>
  <w:style w:type="paragraph" w:customStyle="1" w:styleId="SubClause">
    <w:name w:val="SubClause"/>
    <w:basedOn w:val="Normal"/>
    <w:pPr>
      <w:numPr>
        <w:ilvl w:val="5"/>
        <w:numId w:val="1"/>
      </w:numPr>
      <w:tabs>
        <w:tab w:val="clear" w:pos="2106"/>
        <w:tab w:val="num" w:pos="1296"/>
      </w:tabs>
      <w:spacing w:before="140"/>
      <w:ind w:left="1296"/>
    </w:pPr>
  </w:style>
  <w:style w:type="paragraph" w:customStyle="1" w:styleId="SubClauseList">
    <w:name w:val="SubClauseList"/>
    <w:basedOn w:val="Normal"/>
    <w:pPr>
      <w:numPr>
        <w:ilvl w:val="6"/>
        <w:numId w:val="1"/>
      </w:numPr>
      <w:spacing w:before="100"/>
    </w:pPr>
  </w:style>
  <w:style w:type="paragraph" w:customStyle="1" w:styleId="SubClauseSubList">
    <w:name w:val="SubClauseSubList"/>
    <w:basedOn w:val="Normal"/>
    <w:pPr>
      <w:numPr>
        <w:ilvl w:val="7"/>
        <w:numId w:val="1"/>
      </w:numPr>
      <w:spacing w:before="60"/>
    </w:p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rsid w:val="00153D00"/>
    <w:pPr>
      <w:tabs>
        <w:tab w:val="center" w:pos="4320"/>
        <w:tab w:val="right" w:pos="8640"/>
      </w:tabs>
      <w:autoSpaceDE w:val="0"/>
      <w:autoSpaceDN w:val="0"/>
      <w:adjustRightInd w:val="0"/>
    </w:pPr>
    <w:rPr>
      <w:szCs w:val="20"/>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styleId="TOC4">
    <w:name w:val="toc 4"/>
    <w:basedOn w:val="Normal"/>
    <w:next w:val="Normal"/>
    <w:autoRedefine/>
    <w:uiPriority w:val="39"/>
    <w:rsid w:val="00F43F77"/>
    <w:pPr>
      <w:tabs>
        <w:tab w:val="right" w:pos="9360"/>
      </w:tabs>
      <w:spacing w:before="100"/>
      <w:ind w:left="360"/>
    </w:pPr>
  </w:style>
  <w:style w:type="paragraph" w:styleId="TOC1">
    <w:name w:val="toc 1"/>
    <w:basedOn w:val="Normal"/>
    <w:next w:val="Normal"/>
    <w:autoRedefine/>
    <w:uiPriority w:val="39"/>
    <w:rsid w:val="00565665"/>
    <w:pPr>
      <w:keepNext/>
      <w:tabs>
        <w:tab w:val="right" w:pos="9360"/>
      </w:tabs>
      <w:spacing w:before="200" w:after="100"/>
    </w:pPr>
    <w:rPr>
      <w:b/>
      <w:caps/>
      <w:noProof/>
    </w:rPr>
  </w:style>
  <w:style w:type="paragraph" w:styleId="TOC2">
    <w:name w:val="toc 2"/>
    <w:basedOn w:val="Normal"/>
    <w:next w:val="Normal"/>
    <w:autoRedefine/>
    <w:uiPriority w:val="39"/>
    <w:rsid w:val="00565665"/>
    <w:pPr>
      <w:keepNext/>
      <w:tabs>
        <w:tab w:val="left" w:pos="1080"/>
        <w:tab w:val="right" w:pos="9360"/>
      </w:tabs>
      <w:spacing w:before="100"/>
      <w:ind w:left="360"/>
    </w:pPr>
    <w:rPr>
      <w:b/>
    </w:rPr>
  </w:style>
  <w:style w:type="paragraph" w:styleId="TOC3">
    <w:name w:val="toc 3"/>
    <w:basedOn w:val="Normal"/>
    <w:next w:val="Normal"/>
    <w:autoRedefine/>
    <w:uiPriority w:val="39"/>
    <w:rsid w:val="00663757"/>
    <w:pPr>
      <w:tabs>
        <w:tab w:val="left" w:pos="864"/>
        <w:tab w:val="right" w:pos="9360"/>
      </w:tabs>
      <w:ind w:left="360"/>
    </w:pPr>
    <w:rPr>
      <w:noProof/>
      <w:szCs w:val="20"/>
    </w:rPr>
  </w:style>
  <w:style w:type="paragraph" w:styleId="TOC5">
    <w:name w:val="toc 5"/>
    <w:basedOn w:val="Normal"/>
    <w:next w:val="Normal"/>
    <w:autoRedefine/>
    <w:semiHidden/>
    <w:pPr>
      <w:tabs>
        <w:tab w:val="right" w:pos="9360"/>
      </w:tabs>
      <w:spacing w:before="100"/>
      <w:ind w:left="360"/>
    </w:pPr>
    <w:rPr>
      <w:noProof/>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OC1A">
    <w:name w:val="TOC 1A"/>
    <w:basedOn w:val="Normal"/>
    <w:pPr>
      <w:keepNext/>
      <w:spacing w:before="200" w:after="100"/>
    </w:pPr>
    <w:rPr>
      <w:b/>
      <w:bCs/>
    </w:rPr>
  </w:style>
  <w:style w:type="paragraph" w:customStyle="1" w:styleId="FORMHEADINGAB">
    <w:name w:val="FORMHEADING AB"/>
    <w:basedOn w:val="FORMHEADING"/>
    <w:pPr>
      <w:pageBreakBefore w:val="0"/>
    </w:pPr>
  </w:style>
  <w:style w:type="paragraph" w:customStyle="1" w:styleId="FORMHEADINGH">
    <w:name w:val="FORMHEADING H"/>
    <w:basedOn w:val="FORMHEADING"/>
  </w:style>
  <w:style w:type="paragraph" w:customStyle="1" w:styleId="TABLEHEADING">
    <w:name w:val="TABLEHEADING"/>
    <w:basedOn w:val="Normal"/>
    <w:rsid w:val="005F5780"/>
    <w:rPr>
      <w:b/>
      <w:caps/>
    </w:rPr>
  </w:style>
  <w:style w:type="paragraph" w:customStyle="1" w:styleId="Header1">
    <w:name w:val="Header1"/>
    <w:basedOn w:val="Header"/>
    <w:rsid w:val="009D2C3D"/>
    <w:pPr>
      <w:tabs>
        <w:tab w:val="clear" w:pos="4320"/>
        <w:tab w:val="clear" w:pos="8640"/>
        <w:tab w:val="left" w:pos="7560"/>
      </w:tabs>
    </w:pPr>
    <w:rPr>
      <w:sz w:val="16"/>
      <w:szCs w:val="16"/>
    </w:rPr>
  </w:style>
  <w:style w:type="character" w:styleId="Hyperlink">
    <w:name w:val="Hyperlink"/>
    <w:uiPriority w:val="99"/>
    <w:rsid w:val="00883FD6"/>
    <w:rPr>
      <w:color w:val="0000FF"/>
      <w:u w:val="single"/>
    </w:rPr>
  </w:style>
  <w:style w:type="character" w:styleId="CommentReference">
    <w:name w:val="annotation reference"/>
    <w:semiHidden/>
    <w:rsid w:val="00883FD6"/>
    <w:rPr>
      <w:sz w:val="16"/>
      <w:szCs w:val="16"/>
    </w:rPr>
  </w:style>
  <w:style w:type="paragraph" w:styleId="CommentText">
    <w:name w:val="annotation text"/>
    <w:basedOn w:val="Normal"/>
    <w:link w:val="CommentTextChar"/>
    <w:semiHidden/>
    <w:rsid w:val="00883FD6"/>
    <w:rPr>
      <w:szCs w:val="20"/>
    </w:rPr>
  </w:style>
  <w:style w:type="paragraph" w:styleId="CommentSubject">
    <w:name w:val="annotation subject"/>
    <w:basedOn w:val="CommentText"/>
    <w:next w:val="CommentText"/>
    <w:semiHidden/>
    <w:rsid w:val="00883FD6"/>
    <w:rPr>
      <w:b/>
      <w:bCs/>
    </w:rPr>
  </w:style>
  <w:style w:type="paragraph" w:styleId="BalloonText">
    <w:name w:val="Balloon Text"/>
    <w:basedOn w:val="Normal"/>
    <w:semiHidden/>
    <w:rsid w:val="00883FD6"/>
    <w:rPr>
      <w:rFonts w:ascii="Tahoma" w:hAnsi="Tahoma" w:cs="Tahoma"/>
      <w:sz w:val="16"/>
      <w:szCs w:val="16"/>
    </w:rPr>
  </w:style>
  <w:style w:type="character" w:styleId="FollowedHyperlink">
    <w:name w:val="FollowedHyperlink"/>
    <w:rsid w:val="009B7DC8"/>
    <w:rPr>
      <w:color w:val="800080"/>
      <w:u w:val="single"/>
    </w:rPr>
  </w:style>
  <w:style w:type="character" w:customStyle="1" w:styleId="ClauseListChar">
    <w:name w:val="ClauseList Char"/>
    <w:link w:val="ClauseList"/>
    <w:rsid w:val="00633FD1"/>
    <w:rPr>
      <w:rFonts w:ascii="Arial" w:hAnsi="Arial"/>
      <w:szCs w:val="24"/>
      <w:lang w:val="en-CA"/>
    </w:rPr>
  </w:style>
  <w:style w:type="character" w:customStyle="1" w:styleId="CommentChar">
    <w:name w:val="Comment Char"/>
    <w:link w:val="Comment"/>
    <w:rsid w:val="00124D1F"/>
    <w:rPr>
      <w:rFonts w:ascii="Arial" w:hAnsi="Arial"/>
      <w:i/>
      <w:vanish/>
      <w:color w:val="FF0000"/>
      <w:szCs w:val="24"/>
      <w:lang w:val="en-CA" w:eastAsia="en-US" w:bidi="ar-SA"/>
    </w:rPr>
  </w:style>
  <w:style w:type="character" w:customStyle="1" w:styleId="ClauseChar">
    <w:name w:val="Clause Char"/>
    <w:link w:val="Clause"/>
    <w:rsid w:val="006758E1"/>
    <w:rPr>
      <w:rFonts w:ascii="Arial" w:hAnsi="Arial"/>
      <w:szCs w:val="24"/>
      <w:lang w:val="en-CA"/>
    </w:rPr>
  </w:style>
  <w:style w:type="character" w:customStyle="1" w:styleId="CommentTextChar">
    <w:name w:val="Comment Text Char"/>
    <w:link w:val="CommentText"/>
    <w:rsid w:val="00EB7667"/>
    <w:rPr>
      <w:rFonts w:ascii="Arial" w:hAnsi="Arial"/>
      <w:lang w:val="en-CA"/>
    </w:rPr>
  </w:style>
  <w:style w:type="paragraph" w:customStyle="1" w:styleId="AppendixClauseHeading">
    <w:name w:val="Appendix ClauseHeading"/>
    <w:basedOn w:val="CLAUSEHEADING"/>
    <w:link w:val="AppendixClauseHeadingChar"/>
    <w:qFormat/>
    <w:rsid w:val="0016258B"/>
    <w:pPr>
      <w:numPr>
        <w:numId w:val="4"/>
      </w:numPr>
    </w:pPr>
  </w:style>
  <w:style w:type="paragraph" w:customStyle="1" w:styleId="AppendixClause">
    <w:name w:val="Appendix Clause"/>
    <w:basedOn w:val="Clause"/>
    <w:link w:val="AppendixClauseChar"/>
    <w:qFormat/>
    <w:rsid w:val="006F18AA"/>
    <w:pPr>
      <w:numPr>
        <w:ilvl w:val="1"/>
        <w:numId w:val="5"/>
      </w:numPr>
    </w:pPr>
  </w:style>
  <w:style w:type="character" w:customStyle="1" w:styleId="AppendixClauseHeadingChar">
    <w:name w:val="Appendix ClauseHeading Char"/>
    <w:link w:val="AppendixClauseHeading"/>
    <w:rsid w:val="0016258B"/>
    <w:rPr>
      <w:rFonts w:ascii="Arial" w:hAnsi="Arial"/>
      <w:b/>
      <w:caps/>
      <w:szCs w:val="24"/>
      <w:lang w:val="en-CA"/>
    </w:rPr>
  </w:style>
  <w:style w:type="paragraph" w:customStyle="1" w:styleId="AppendixClauseList">
    <w:name w:val="Appendix ClauseList"/>
    <w:basedOn w:val="ClauseList"/>
    <w:link w:val="AppendixClauseListChar"/>
    <w:qFormat/>
    <w:rsid w:val="0016258B"/>
    <w:pPr>
      <w:numPr>
        <w:ilvl w:val="0"/>
        <w:numId w:val="0"/>
      </w:numPr>
      <w:tabs>
        <w:tab w:val="num" w:pos="1296"/>
      </w:tabs>
      <w:ind w:left="1296" w:hanging="432"/>
    </w:pPr>
  </w:style>
  <w:style w:type="character" w:customStyle="1" w:styleId="AppendixClauseChar">
    <w:name w:val="Appendix Clause Char"/>
    <w:link w:val="AppendixClause"/>
    <w:rsid w:val="006F18AA"/>
    <w:rPr>
      <w:rFonts w:ascii="Arial" w:hAnsi="Arial"/>
      <w:szCs w:val="24"/>
      <w:lang w:val="en-CA"/>
    </w:rPr>
  </w:style>
  <w:style w:type="paragraph" w:customStyle="1" w:styleId="AppendixSubClause">
    <w:name w:val="Appendix SubClause"/>
    <w:basedOn w:val="Clause"/>
    <w:link w:val="AppendixSubClauseChar"/>
    <w:qFormat/>
    <w:rsid w:val="0016258B"/>
    <w:pPr>
      <w:numPr>
        <w:numId w:val="5"/>
      </w:numPr>
    </w:pPr>
  </w:style>
  <w:style w:type="character" w:customStyle="1" w:styleId="AppendixClauseListChar">
    <w:name w:val="Appendix ClauseList Char"/>
    <w:link w:val="AppendixClauseList"/>
    <w:rsid w:val="0016258B"/>
    <w:rPr>
      <w:rFonts w:ascii="Arial" w:hAnsi="Arial"/>
      <w:szCs w:val="24"/>
      <w:lang w:val="en-CA"/>
    </w:rPr>
  </w:style>
  <w:style w:type="paragraph" w:customStyle="1" w:styleId="AppendixClauseSubList">
    <w:name w:val="Appendix ClauseSubList"/>
    <w:basedOn w:val="ClauseSubList"/>
    <w:link w:val="AppendixClauseSubListChar"/>
    <w:qFormat/>
    <w:rsid w:val="0016258B"/>
    <w:pPr>
      <w:numPr>
        <w:ilvl w:val="0"/>
        <w:numId w:val="0"/>
      </w:numPr>
      <w:tabs>
        <w:tab w:val="num" w:pos="1872"/>
      </w:tabs>
      <w:ind w:left="1872" w:hanging="288"/>
    </w:pPr>
  </w:style>
  <w:style w:type="character" w:customStyle="1" w:styleId="AppendixSubClauseChar">
    <w:name w:val="Appendix SubClause Char"/>
    <w:link w:val="AppendixSubClause"/>
    <w:rsid w:val="0016258B"/>
    <w:rPr>
      <w:rFonts w:ascii="Arial" w:hAnsi="Arial"/>
      <w:szCs w:val="24"/>
      <w:lang w:val="en-CA"/>
    </w:rPr>
  </w:style>
  <w:style w:type="character" w:customStyle="1" w:styleId="ClauseSubListChar">
    <w:name w:val="ClauseSubList Char"/>
    <w:link w:val="ClauseSubList"/>
    <w:rsid w:val="0016258B"/>
    <w:rPr>
      <w:rFonts w:ascii="Arial" w:hAnsi="Arial"/>
      <w:szCs w:val="24"/>
      <w:lang w:val="en-CA"/>
    </w:rPr>
  </w:style>
  <w:style w:type="character" w:customStyle="1" w:styleId="AppendixClauseSubListChar">
    <w:name w:val="Appendix ClauseSubList Char"/>
    <w:link w:val="AppendixClauseSubList"/>
    <w:rsid w:val="0016258B"/>
    <w:rPr>
      <w:rFonts w:ascii="Arial" w:hAnsi="Arial"/>
      <w:szCs w:val="24"/>
      <w:lang w:val="en-CA"/>
    </w:rPr>
  </w:style>
  <w:style w:type="character" w:customStyle="1" w:styleId="CLAUSEHEADINGChar">
    <w:name w:val="CLAUSEHEADING Char"/>
    <w:link w:val="CLAUSEHEADING"/>
    <w:rsid w:val="00A259BF"/>
    <w:rPr>
      <w:rFonts w:ascii="Arial" w:hAnsi="Arial"/>
      <w:b/>
      <w:caps/>
      <w:szCs w:val="24"/>
      <w:lang w:val="en-CA"/>
    </w:rPr>
  </w:style>
  <w:style w:type="paragraph" w:customStyle="1" w:styleId="Instructions">
    <w:name w:val="Instructions"/>
    <w:basedOn w:val="ClauseList"/>
    <w:qFormat/>
    <w:rsid w:val="00A3353E"/>
    <w:pPr>
      <w:numPr>
        <w:ilvl w:val="0"/>
        <w:numId w:val="0"/>
      </w:numPr>
      <w:spacing w:before="120" w:after="120"/>
    </w:pPr>
    <w:rPr>
      <w:i/>
      <w:color w:val="C0504D" w:themeColor="accent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415"/>
    <w:rPr>
      <w:rFonts w:ascii="Arial" w:hAnsi="Arial"/>
      <w:szCs w:val="24"/>
      <w:lang w:val="en-C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tabs>
        <w:tab w:val="left" w:pos="1080"/>
        <w:tab w:val="right" w:pos="9360"/>
      </w:tabs>
      <w:ind w:left="360"/>
      <w:outlineLvl w:val="3"/>
    </w:pPr>
    <w:rPr>
      <w:b/>
      <w:bCs/>
    </w:rPr>
  </w:style>
  <w:style w:type="paragraph" w:styleId="Heading5">
    <w:name w:val="heading 5"/>
    <w:basedOn w:val="Normal"/>
    <w:next w:val="Normal"/>
    <w:qFormat/>
    <w:rsid w:val="00633284"/>
    <w:pPr>
      <w:spacing w:before="240" w:after="60"/>
      <w:outlineLvl w:val="4"/>
    </w:pPr>
    <w:rPr>
      <w:b/>
      <w:bCs/>
      <w:i/>
      <w:iCs/>
      <w:sz w:val="26"/>
      <w:szCs w:val="26"/>
    </w:rPr>
  </w:style>
  <w:style w:type="paragraph" w:styleId="Heading6">
    <w:name w:val="heading 6"/>
    <w:basedOn w:val="Normal"/>
    <w:next w:val="Normal"/>
    <w:qFormat/>
    <w:rsid w:val="0063328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Font">
    <w:name w:val="CommentFont"/>
    <w:rPr>
      <w:i/>
      <w:vanish/>
      <w:color w:val="FF0000"/>
    </w:rPr>
  </w:style>
  <w:style w:type="paragraph" w:customStyle="1" w:styleId="PARTHEADING">
    <w:name w:val="PARTHEADING"/>
    <w:basedOn w:val="Normal"/>
    <w:next w:val="CLAUSEHEADING"/>
    <w:pPr>
      <w:numPr>
        <w:numId w:val="1"/>
      </w:numPr>
    </w:pPr>
    <w:rPr>
      <w:b/>
      <w:caps/>
      <w:sz w:val="24"/>
    </w:rPr>
  </w:style>
  <w:style w:type="paragraph" w:customStyle="1" w:styleId="CLAUSEHEADING">
    <w:name w:val="CLAUSEHEADING"/>
    <w:basedOn w:val="Normal"/>
    <w:next w:val="Clause"/>
    <w:link w:val="CLAUSEHEADINGChar"/>
    <w:pPr>
      <w:keepNext/>
      <w:numPr>
        <w:ilvl w:val="1"/>
        <w:numId w:val="1"/>
      </w:numPr>
      <w:spacing w:before="300"/>
    </w:pPr>
    <w:rPr>
      <w:b/>
      <w:caps/>
    </w:rPr>
  </w:style>
  <w:style w:type="paragraph" w:customStyle="1" w:styleId="Clause">
    <w:name w:val="Clause"/>
    <w:basedOn w:val="Normal"/>
    <w:link w:val="ClauseChar"/>
    <w:pPr>
      <w:numPr>
        <w:ilvl w:val="2"/>
        <w:numId w:val="1"/>
      </w:numPr>
      <w:spacing w:before="200"/>
    </w:pPr>
  </w:style>
  <w:style w:type="paragraph" w:customStyle="1" w:styleId="SUBHEADING">
    <w:name w:val="SUBHEADING"/>
    <w:basedOn w:val="Normal"/>
    <w:next w:val="CLAUSEHEADING"/>
    <w:pPr>
      <w:keepNext/>
      <w:spacing w:before="300"/>
    </w:pPr>
    <w:rPr>
      <w:b/>
      <w:caps/>
    </w:rPr>
  </w:style>
  <w:style w:type="paragraph" w:customStyle="1" w:styleId="ClauseList">
    <w:name w:val="ClauseList"/>
    <w:basedOn w:val="Normal"/>
    <w:link w:val="ClauseListChar"/>
    <w:pPr>
      <w:numPr>
        <w:ilvl w:val="3"/>
        <w:numId w:val="1"/>
      </w:numPr>
      <w:spacing w:before="100"/>
    </w:pPr>
  </w:style>
  <w:style w:type="paragraph" w:customStyle="1" w:styleId="ClauseSubList">
    <w:name w:val="ClauseSubList"/>
    <w:basedOn w:val="Normal"/>
    <w:link w:val="ClauseSubListChar"/>
    <w:pPr>
      <w:numPr>
        <w:ilvl w:val="4"/>
        <w:numId w:val="1"/>
      </w:numPr>
      <w:spacing w:before="60"/>
    </w:pPr>
  </w:style>
  <w:style w:type="paragraph" w:customStyle="1" w:styleId="SubClause">
    <w:name w:val="SubClause"/>
    <w:basedOn w:val="Normal"/>
    <w:pPr>
      <w:numPr>
        <w:ilvl w:val="5"/>
        <w:numId w:val="1"/>
      </w:numPr>
      <w:tabs>
        <w:tab w:val="clear" w:pos="2106"/>
        <w:tab w:val="num" w:pos="1296"/>
      </w:tabs>
      <w:spacing w:before="140"/>
      <w:ind w:left="1296"/>
    </w:pPr>
  </w:style>
  <w:style w:type="paragraph" w:customStyle="1" w:styleId="SubClauseList">
    <w:name w:val="SubClauseList"/>
    <w:basedOn w:val="Normal"/>
    <w:pPr>
      <w:numPr>
        <w:ilvl w:val="6"/>
        <w:numId w:val="1"/>
      </w:numPr>
      <w:spacing w:before="100"/>
    </w:pPr>
  </w:style>
  <w:style w:type="paragraph" w:customStyle="1" w:styleId="SubClauseSubList">
    <w:name w:val="SubClauseSubList"/>
    <w:basedOn w:val="Normal"/>
    <w:pPr>
      <w:numPr>
        <w:ilvl w:val="7"/>
        <w:numId w:val="1"/>
      </w:numPr>
      <w:spacing w:before="60"/>
    </w:pPr>
  </w:style>
  <w:style w:type="paragraph" w:customStyle="1" w:styleId="Comment">
    <w:name w:val="Comment"/>
    <w:basedOn w:val="Normal"/>
    <w:link w:val="CommentChar"/>
    <w:pPr>
      <w:keepNext/>
      <w:spacing w:before="200"/>
    </w:pPr>
    <w:rPr>
      <w:i/>
      <w:vanish/>
      <w:color w:val="FF0000"/>
    </w:rPr>
  </w:style>
  <w:style w:type="paragraph" w:styleId="Header">
    <w:name w:val="header"/>
    <w:basedOn w:val="Normal"/>
    <w:rsid w:val="00153D00"/>
    <w:pPr>
      <w:tabs>
        <w:tab w:val="center" w:pos="4320"/>
        <w:tab w:val="right" w:pos="8640"/>
      </w:tabs>
      <w:autoSpaceDE w:val="0"/>
      <w:autoSpaceDN w:val="0"/>
      <w:adjustRightInd w:val="0"/>
    </w:pPr>
    <w:rPr>
      <w:szCs w:val="20"/>
    </w:rPr>
  </w:style>
  <w:style w:type="paragraph" w:styleId="Footer">
    <w:name w:val="footer"/>
    <w:basedOn w:val="Normal"/>
    <w:pPr>
      <w:tabs>
        <w:tab w:val="center" w:pos="4320"/>
        <w:tab w:val="right" w:pos="8640"/>
      </w:tabs>
    </w:pPr>
  </w:style>
  <w:style w:type="paragraph" w:customStyle="1" w:styleId="FORMHEADING">
    <w:name w:val="FORMHEADING"/>
    <w:basedOn w:val="Normal"/>
    <w:next w:val="Normal"/>
    <w:pPr>
      <w:pageBreakBefore/>
      <w:jc w:val="center"/>
    </w:pPr>
    <w:rPr>
      <w:b/>
      <w:bCs/>
      <w:caps/>
    </w:rPr>
  </w:style>
  <w:style w:type="paragraph" w:customStyle="1" w:styleId="TenderNo">
    <w:name w:val="TenderNo"/>
    <w:basedOn w:val="Normal"/>
    <w:pPr>
      <w:spacing w:before="800" w:after="300"/>
      <w:jc w:val="center"/>
    </w:pPr>
    <w:rPr>
      <w:b/>
      <w:bCs/>
      <w:caps/>
      <w:sz w:val="24"/>
    </w:rPr>
  </w:style>
  <w:style w:type="paragraph" w:customStyle="1" w:styleId="ProjectTitle">
    <w:name w:val="ProjectTitle"/>
    <w:basedOn w:val="Normal"/>
    <w:pPr>
      <w:jc w:val="center"/>
    </w:pPr>
    <w:rPr>
      <w:b/>
      <w:caps/>
      <w:sz w:val="24"/>
    </w:rPr>
  </w:style>
  <w:style w:type="paragraph" w:styleId="TOC4">
    <w:name w:val="toc 4"/>
    <w:basedOn w:val="Normal"/>
    <w:next w:val="Normal"/>
    <w:autoRedefine/>
    <w:uiPriority w:val="39"/>
    <w:rsid w:val="00F43F77"/>
    <w:pPr>
      <w:tabs>
        <w:tab w:val="right" w:pos="9360"/>
      </w:tabs>
      <w:spacing w:before="100"/>
      <w:ind w:left="360"/>
    </w:pPr>
  </w:style>
  <w:style w:type="paragraph" w:styleId="TOC1">
    <w:name w:val="toc 1"/>
    <w:basedOn w:val="Normal"/>
    <w:next w:val="Normal"/>
    <w:autoRedefine/>
    <w:uiPriority w:val="39"/>
    <w:rsid w:val="00565665"/>
    <w:pPr>
      <w:keepNext/>
      <w:tabs>
        <w:tab w:val="right" w:pos="9360"/>
      </w:tabs>
      <w:spacing w:before="200" w:after="100"/>
    </w:pPr>
    <w:rPr>
      <w:b/>
      <w:caps/>
      <w:noProof/>
    </w:rPr>
  </w:style>
  <w:style w:type="paragraph" w:styleId="TOC2">
    <w:name w:val="toc 2"/>
    <w:basedOn w:val="Normal"/>
    <w:next w:val="Normal"/>
    <w:autoRedefine/>
    <w:uiPriority w:val="39"/>
    <w:rsid w:val="00565665"/>
    <w:pPr>
      <w:keepNext/>
      <w:tabs>
        <w:tab w:val="left" w:pos="1080"/>
        <w:tab w:val="right" w:pos="9360"/>
      </w:tabs>
      <w:spacing w:before="100"/>
      <w:ind w:left="360"/>
    </w:pPr>
    <w:rPr>
      <w:b/>
    </w:rPr>
  </w:style>
  <w:style w:type="paragraph" w:styleId="TOC3">
    <w:name w:val="toc 3"/>
    <w:basedOn w:val="Normal"/>
    <w:next w:val="Normal"/>
    <w:autoRedefine/>
    <w:uiPriority w:val="39"/>
    <w:rsid w:val="00663757"/>
    <w:pPr>
      <w:tabs>
        <w:tab w:val="left" w:pos="864"/>
        <w:tab w:val="right" w:pos="9360"/>
      </w:tabs>
      <w:ind w:left="360"/>
    </w:pPr>
    <w:rPr>
      <w:noProof/>
      <w:szCs w:val="20"/>
    </w:rPr>
  </w:style>
  <w:style w:type="paragraph" w:styleId="TOC5">
    <w:name w:val="toc 5"/>
    <w:basedOn w:val="Normal"/>
    <w:next w:val="Normal"/>
    <w:autoRedefine/>
    <w:semiHidden/>
    <w:pPr>
      <w:tabs>
        <w:tab w:val="right" w:pos="9360"/>
      </w:tabs>
      <w:spacing w:before="100"/>
      <w:ind w:left="360"/>
    </w:pPr>
    <w:rPr>
      <w:noProof/>
    </w:r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OC1A">
    <w:name w:val="TOC 1A"/>
    <w:basedOn w:val="Normal"/>
    <w:pPr>
      <w:keepNext/>
      <w:spacing w:before="200" w:after="100"/>
    </w:pPr>
    <w:rPr>
      <w:b/>
      <w:bCs/>
    </w:rPr>
  </w:style>
  <w:style w:type="paragraph" w:customStyle="1" w:styleId="FORMHEADINGAB">
    <w:name w:val="FORMHEADING AB"/>
    <w:basedOn w:val="FORMHEADING"/>
    <w:pPr>
      <w:pageBreakBefore w:val="0"/>
    </w:pPr>
  </w:style>
  <w:style w:type="paragraph" w:customStyle="1" w:styleId="FORMHEADINGH">
    <w:name w:val="FORMHEADING H"/>
    <w:basedOn w:val="FORMHEADING"/>
  </w:style>
  <w:style w:type="paragraph" w:customStyle="1" w:styleId="TABLEHEADING">
    <w:name w:val="TABLEHEADING"/>
    <w:basedOn w:val="Normal"/>
    <w:rsid w:val="005F5780"/>
    <w:rPr>
      <w:b/>
      <w:caps/>
    </w:rPr>
  </w:style>
  <w:style w:type="paragraph" w:customStyle="1" w:styleId="Header1">
    <w:name w:val="Header1"/>
    <w:basedOn w:val="Header"/>
    <w:rsid w:val="009D2C3D"/>
    <w:pPr>
      <w:tabs>
        <w:tab w:val="clear" w:pos="4320"/>
        <w:tab w:val="clear" w:pos="8640"/>
        <w:tab w:val="left" w:pos="7560"/>
      </w:tabs>
    </w:pPr>
    <w:rPr>
      <w:sz w:val="16"/>
      <w:szCs w:val="16"/>
    </w:rPr>
  </w:style>
  <w:style w:type="character" w:styleId="Hyperlink">
    <w:name w:val="Hyperlink"/>
    <w:uiPriority w:val="99"/>
    <w:rsid w:val="00883FD6"/>
    <w:rPr>
      <w:color w:val="0000FF"/>
      <w:u w:val="single"/>
    </w:rPr>
  </w:style>
  <w:style w:type="character" w:styleId="CommentReference">
    <w:name w:val="annotation reference"/>
    <w:semiHidden/>
    <w:rsid w:val="00883FD6"/>
    <w:rPr>
      <w:sz w:val="16"/>
      <w:szCs w:val="16"/>
    </w:rPr>
  </w:style>
  <w:style w:type="paragraph" w:styleId="CommentText">
    <w:name w:val="annotation text"/>
    <w:basedOn w:val="Normal"/>
    <w:link w:val="CommentTextChar"/>
    <w:semiHidden/>
    <w:rsid w:val="00883FD6"/>
    <w:rPr>
      <w:szCs w:val="20"/>
    </w:rPr>
  </w:style>
  <w:style w:type="paragraph" w:styleId="CommentSubject">
    <w:name w:val="annotation subject"/>
    <w:basedOn w:val="CommentText"/>
    <w:next w:val="CommentText"/>
    <w:semiHidden/>
    <w:rsid w:val="00883FD6"/>
    <w:rPr>
      <w:b/>
      <w:bCs/>
    </w:rPr>
  </w:style>
  <w:style w:type="paragraph" w:styleId="BalloonText">
    <w:name w:val="Balloon Text"/>
    <w:basedOn w:val="Normal"/>
    <w:semiHidden/>
    <w:rsid w:val="00883FD6"/>
    <w:rPr>
      <w:rFonts w:ascii="Tahoma" w:hAnsi="Tahoma" w:cs="Tahoma"/>
      <w:sz w:val="16"/>
      <w:szCs w:val="16"/>
    </w:rPr>
  </w:style>
  <w:style w:type="character" w:styleId="FollowedHyperlink">
    <w:name w:val="FollowedHyperlink"/>
    <w:rsid w:val="009B7DC8"/>
    <w:rPr>
      <w:color w:val="800080"/>
      <w:u w:val="single"/>
    </w:rPr>
  </w:style>
  <w:style w:type="character" w:customStyle="1" w:styleId="ClauseListChar">
    <w:name w:val="ClauseList Char"/>
    <w:link w:val="ClauseList"/>
    <w:rsid w:val="00633FD1"/>
    <w:rPr>
      <w:rFonts w:ascii="Arial" w:hAnsi="Arial"/>
      <w:szCs w:val="24"/>
      <w:lang w:val="en-CA"/>
    </w:rPr>
  </w:style>
  <w:style w:type="character" w:customStyle="1" w:styleId="CommentChar">
    <w:name w:val="Comment Char"/>
    <w:link w:val="Comment"/>
    <w:rsid w:val="00124D1F"/>
    <w:rPr>
      <w:rFonts w:ascii="Arial" w:hAnsi="Arial"/>
      <w:i/>
      <w:vanish/>
      <w:color w:val="FF0000"/>
      <w:szCs w:val="24"/>
      <w:lang w:val="en-CA" w:eastAsia="en-US" w:bidi="ar-SA"/>
    </w:rPr>
  </w:style>
  <w:style w:type="character" w:customStyle="1" w:styleId="ClauseChar">
    <w:name w:val="Clause Char"/>
    <w:link w:val="Clause"/>
    <w:rsid w:val="006758E1"/>
    <w:rPr>
      <w:rFonts w:ascii="Arial" w:hAnsi="Arial"/>
      <w:szCs w:val="24"/>
      <w:lang w:val="en-CA"/>
    </w:rPr>
  </w:style>
  <w:style w:type="character" w:customStyle="1" w:styleId="CommentTextChar">
    <w:name w:val="Comment Text Char"/>
    <w:link w:val="CommentText"/>
    <w:rsid w:val="00EB7667"/>
    <w:rPr>
      <w:rFonts w:ascii="Arial" w:hAnsi="Arial"/>
      <w:lang w:val="en-CA"/>
    </w:rPr>
  </w:style>
  <w:style w:type="paragraph" w:customStyle="1" w:styleId="AppendixClauseHeading">
    <w:name w:val="Appendix ClauseHeading"/>
    <w:basedOn w:val="CLAUSEHEADING"/>
    <w:link w:val="AppendixClauseHeadingChar"/>
    <w:qFormat/>
    <w:rsid w:val="0016258B"/>
    <w:pPr>
      <w:numPr>
        <w:numId w:val="4"/>
      </w:numPr>
    </w:pPr>
  </w:style>
  <w:style w:type="paragraph" w:customStyle="1" w:styleId="AppendixClause">
    <w:name w:val="Appendix Clause"/>
    <w:basedOn w:val="Clause"/>
    <w:link w:val="AppendixClauseChar"/>
    <w:qFormat/>
    <w:rsid w:val="006F18AA"/>
    <w:pPr>
      <w:numPr>
        <w:ilvl w:val="1"/>
        <w:numId w:val="5"/>
      </w:numPr>
    </w:pPr>
  </w:style>
  <w:style w:type="character" w:customStyle="1" w:styleId="AppendixClauseHeadingChar">
    <w:name w:val="Appendix ClauseHeading Char"/>
    <w:link w:val="AppendixClauseHeading"/>
    <w:rsid w:val="0016258B"/>
    <w:rPr>
      <w:rFonts w:ascii="Arial" w:hAnsi="Arial"/>
      <w:b/>
      <w:caps/>
      <w:szCs w:val="24"/>
      <w:lang w:val="en-CA"/>
    </w:rPr>
  </w:style>
  <w:style w:type="paragraph" w:customStyle="1" w:styleId="AppendixClauseList">
    <w:name w:val="Appendix ClauseList"/>
    <w:basedOn w:val="ClauseList"/>
    <w:link w:val="AppendixClauseListChar"/>
    <w:qFormat/>
    <w:rsid w:val="0016258B"/>
    <w:pPr>
      <w:numPr>
        <w:ilvl w:val="0"/>
        <w:numId w:val="0"/>
      </w:numPr>
      <w:tabs>
        <w:tab w:val="num" w:pos="1296"/>
      </w:tabs>
      <w:ind w:left="1296" w:hanging="432"/>
    </w:pPr>
  </w:style>
  <w:style w:type="character" w:customStyle="1" w:styleId="AppendixClauseChar">
    <w:name w:val="Appendix Clause Char"/>
    <w:link w:val="AppendixClause"/>
    <w:rsid w:val="006F18AA"/>
    <w:rPr>
      <w:rFonts w:ascii="Arial" w:hAnsi="Arial"/>
      <w:szCs w:val="24"/>
      <w:lang w:val="en-CA"/>
    </w:rPr>
  </w:style>
  <w:style w:type="paragraph" w:customStyle="1" w:styleId="AppendixSubClause">
    <w:name w:val="Appendix SubClause"/>
    <w:basedOn w:val="Clause"/>
    <w:link w:val="AppendixSubClauseChar"/>
    <w:qFormat/>
    <w:rsid w:val="0016258B"/>
    <w:pPr>
      <w:numPr>
        <w:numId w:val="5"/>
      </w:numPr>
    </w:pPr>
  </w:style>
  <w:style w:type="character" w:customStyle="1" w:styleId="AppendixClauseListChar">
    <w:name w:val="Appendix ClauseList Char"/>
    <w:link w:val="AppendixClauseList"/>
    <w:rsid w:val="0016258B"/>
    <w:rPr>
      <w:rFonts w:ascii="Arial" w:hAnsi="Arial"/>
      <w:szCs w:val="24"/>
      <w:lang w:val="en-CA"/>
    </w:rPr>
  </w:style>
  <w:style w:type="paragraph" w:customStyle="1" w:styleId="AppendixClauseSubList">
    <w:name w:val="Appendix ClauseSubList"/>
    <w:basedOn w:val="ClauseSubList"/>
    <w:link w:val="AppendixClauseSubListChar"/>
    <w:qFormat/>
    <w:rsid w:val="0016258B"/>
    <w:pPr>
      <w:numPr>
        <w:ilvl w:val="0"/>
        <w:numId w:val="0"/>
      </w:numPr>
      <w:tabs>
        <w:tab w:val="num" w:pos="1872"/>
      </w:tabs>
      <w:ind w:left="1872" w:hanging="288"/>
    </w:pPr>
  </w:style>
  <w:style w:type="character" w:customStyle="1" w:styleId="AppendixSubClauseChar">
    <w:name w:val="Appendix SubClause Char"/>
    <w:link w:val="AppendixSubClause"/>
    <w:rsid w:val="0016258B"/>
    <w:rPr>
      <w:rFonts w:ascii="Arial" w:hAnsi="Arial"/>
      <w:szCs w:val="24"/>
      <w:lang w:val="en-CA"/>
    </w:rPr>
  </w:style>
  <w:style w:type="character" w:customStyle="1" w:styleId="ClauseSubListChar">
    <w:name w:val="ClauseSubList Char"/>
    <w:link w:val="ClauseSubList"/>
    <w:rsid w:val="0016258B"/>
    <w:rPr>
      <w:rFonts w:ascii="Arial" w:hAnsi="Arial"/>
      <w:szCs w:val="24"/>
      <w:lang w:val="en-CA"/>
    </w:rPr>
  </w:style>
  <w:style w:type="character" w:customStyle="1" w:styleId="AppendixClauseSubListChar">
    <w:name w:val="Appendix ClauseSubList Char"/>
    <w:link w:val="AppendixClauseSubList"/>
    <w:rsid w:val="0016258B"/>
    <w:rPr>
      <w:rFonts w:ascii="Arial" w:hAnsi="Arial"/>
      <w:szCs w:val="24"/>
      <w:lang w:val="en-CA"/>
    </w:rPr>
  </w:style>
  <w:style w:type="character" w:customStyle="1" w:styleId="CLAUSEHEADINGChar">
    <w:name w:val="CLAUSEHEADING Char"/>
    <w:link w:val="CLAUSEHEADING"/>
    <w:rsid w:val="00A259BF"/>
    <w:rPr>
      <w:rFonts w:ascii="Arial" w:hAnsi="Arial"/>
      <w:b/>
      <w:caps/>
      <w:szCs w:val="24"/>
      <w:lang w:val="en-CA"/>
    </w:rPr>
  </w:style>
  <w:style w:type="paragraph" w:customStyle="1" w:styleId="Instructions">
    <w:name w:val="Instructions"/>
    <w:basedOn w:val="ClauseList"/>
    <w:qFormat/>
    <w:rsid w:val="00A3353E"/>
    <w:pPr>
      <w:numPr>
        <w:ilvl w:val="0"/>
        <w:numId w:val="0"/>
      </w:numPr>
      <w:spacing w:before="120" w:after="120"/>
    </w:pPr>
    <w:rPr>
      <w:i/>
      <w:color w:val="C0504D"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9290">
      <w:bodyDiv w:val="1"/>
      <w:marLeft w:val="0"/>
      <w:marRight w:val="0"/>
      <w:marTop w:val="0"/>
      <w:marBottom w:val="0"/>
      <w:divBdr>
        <w:top w:val="none" w:sz="0" w:space="0" w:color="auto"/>
        <w:left w:val="none" w:sz="0" w:space="0" w:color="auto"/>
        <w:bottom w:val="none" w:sz="0" w:space="0" w:color="auto"/>
        <w:right w:val="none" w:sz="0" w:space="0" w:color="auto"/>
      </w:divBdr>
    </w:div>
    <w:div w:id="804547895">
      <w:bodyDiv w:val="1"/>
      <w:marLeft w:val="0"/>
      <w:marRight w:val="0"/>
      <w:marTop w:val="0"/>
      <w:marBottom w:val="0"/>
      <w:divBdr>
        <w:top w:val="none" w:sz="0" w:space="0" w:color="auto"/>
        <w:left w:val="none" w:sz="0" w:space="0" w:color="auto"/>
        <w:bottom w:val="none" w:sz="0" w:space="0" w:color="auto"/>
        <w:right w:val="none" w:sz="0" w:space="0" w:color="auto"/>
      </w:divBdr>
      <w:divsChild>
        <w:div w:id="10772835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63135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0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77108">
      <w:bodyDiv w:val="1"/>
      <w:marLeft w:val="0"/>
      <w:marRight w:val="0"/>
      <w:marTop w:val="0"/>
      <w:marBottom w:val="0"/>
      <w:divBdr>
        <w:top w:val="none" w:sz="0" w:space="0" w:color="auto"/>
        <w:left w:val="none" w:sz="0" w:space="0" w:color="auto"/>
        <w:bottom w:val="none" w:sz="0" w:space="0" w:color="auto"/>
        <w:right w:val="none" w:sz="0" w:space="0" w:color="auto"/>
      </w:divBdr>
    </w:div>
    <w:div w:id="956451338">
      <w:bodyDiv w:val="1"/>
      <w:marLeft w:val="0"/>
      <w:marRight w:val="0"/>
      <w:marTop w:val="0"/>
      <w:marBottom w:val="0"/>
      <w:divBdr>
        <w:top w:val="none" w:sz="0" w:space="0" w:color="auto"/>
        <w:left w:val="none" w:sz="0" w:space="0" w:color="auto"/>
        <w:bottom w:val="none" w:sz="0" w:space="0" w:color="auto"/>
        <w:right w:val="none" w:sz="0" w:space="0" w:color="auto"/>
      </w:divBdr>
    </w:div>
    <w:div w:id="990792702">
      <w:bodyDiv w:val="1"/>
      <w:marLeft w:val="0"/>
      <w:marRight w:val="0"/>
      <w:marTop w:val="0"/>
      <w:marBottom w:val="0"/>
      <w:divBdr>
        <w:top w:val="none" w:sz="0" w:space="0" w:color="auto"/>
        <w:left w:val="none" w:sz="0" w:space="0" w:color="auto"/>
        <w:bottom w:val="none" w:sz="0" w:space="0" w:color="auto"/>
        <w:right w:val="none" w:sz="0" w:space="0" w:color="auto"/>
      </w:divBdr>
    </w:div>
    <w:div w:id="1000238735">
      <w:bodyDiv w:val="1"/>
      <w:marLeft w:val="0"/>
      <w:marRight w:val="0"/>
      <w:marTop w:val="0"/>
      <w:marBottom w:val="0"/>
      <w:divBdr>
        <w:top w:val="none" w:sz="0" w:space="0" w:color="auto"/>
        <w:left w:val="none" w:sz="0" w:space="0" w:color="auto"/>
        <w:bottom w:val="none" w:sz="0" w:space="0" w:color="auto"/>
        <w:right w:val="none" w:sz="0" w:space="0" w:color="auto"/>
      </w:divBdr>
    </w:div>
    <w:div w:id="1086732369">
      <w:bodyDiv w:val="1"/>
      <w:marLeft w:val="0"/>
      <w:marRight w:val="0"/>
      <w:marTop w:val="0"/>
      <w:marBottom w:val="0"/>
      <w:divBdr>
        <w:top w:val="none" w:sz="0" w:space="0" w:color="auto"/>
        <w:left w:val="none" w:sz="0" w:space="0" w:color="auto"/>
        <w:bottom w:val="none" w:sz="0" w:space="0" w:color="auto"/>
        <w:right w:val="none" w:sz="0" w:space="0" w:color="auto"/>
      </w:divBdr>
    </w:div>
    <w:div w:id="1557936853">
      <w:bodyDiv w:val="1"/>
      <w:marLeft w:val="0"/>
      <w:marRight w:val="0"/>
      <w:marTop w:val="0"/>
      <w:marBottom w:val="0"/>
      <w:divBdr>
        <w:top w:val="none" w:sz="0" w:space="0" w:color="auto"/>
        <w:left w:val="none" w:sz="0" w:space="0" w:color="auto"/>
        <w:bottom w:val="none" w:sz="0" w:space="0" w:color="auto"/>
        <w:right w:val="none" w:sz="0" w:space="0" w:color="auto"/>
      </w:divBdr>
    </w:div>
    <w:div w:id="1580945928">
      <w:bodyDiv w:val="1"/>
      <w:marLeft w:val="0"/>
      <w:marRight w:val="0"/>
      <w:marTop w:val="0"/>
      <w:marBottom w:val="0"/>
      <w:divBdr>
        <w:top w:val="none" w:sz="0" w:space="0" w:color="auto"/>
        <w:left w:val="none" w:sz="0" w:space="0" w:color="auto"/>
        <w:bottom w:val="none" w:sz="0" w:space="0" w:color="auto"/>
        <w:right w:val="none" w:sz="0" w:space="0" w:color="auto"/>
      </w:divBdr>
    </w:div>
    <w:div w:id="1651059270">
      <w:bodyDiv w:val="1"/>
      <w:marLeft w:val="0"/>
      <w:marRight w:val="0"/>
      <w:marTop w:val="0"/>
      <w:marBottom w:val="0"/>
      <w:divBdr>
        <w:top w:val="none" w:sz="0" w:space="0" w:color="auto"/>
        <w:left w:val="none" w:sz="0" w:space="0" w:color="auto"/>
        <w:bottom w:val="none" w:sz="0" w:space="0" w:color="auto"/>
        <w:right w:val="none" w:sz="0" w:space="0" w:color="auto"/>
      </w:divBdr>
    </w:div>
    <w:div w:id="21201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mailto:Henry.Zenteno@rotork.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creimer\Downloads\Bid_Opportunity-Constru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89F37-FD5F-478A-994D-72662658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Bid_Opportunity-Construction.dot</Template>
  <TotalTime>179</TotalTime>
  <Pages>17</Pages>
  <Words>4218</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Bid Opportunity</vt:lpstr>
    </vt:vector>
  </TitlesOfParts>
  <Company>City of Winnipeg - Materials Management</Company>
  <LinksUpToDate>false</LinksUpToDate>
  <CharactersWithSpaces>30569</CharactersWithSpaces>
  <SharedDoc>false</SharedDoc>
  <HLinks>
    <vt:vector size="606" baseType="variant">
      <vt:variant>
        <vt:i4>3801097</vt:i4>
      </vt:variant>
      <vt:variant>
        <vt:i4>1164</vt:i4>
      </vt:variant>
      <vt:variant>
        <vt:i4>0</vt:i4>
      </vt:variant>
      <vt:variant>
        <vt:i4>5</vt:i4>
      </vt:variant>
      <vt:variant>
        <vt:lpwstr>http://winnipeg.ca/police/pr/info_request.stm</vt:lpwstr>
      </vt:variant>
      <vt:variant>
        <vt:lpwstr/>
      </vt:variant>
      <vt:variant>
        <vt:i4>3801097</vt:i4>
      </vt:variant>
      <vt:variant>
        <vt:i4>1161</vt:i4>
      </vt:variant>
      <vt:variant>
        <vt:i4>0</vt:i4>
      </vt:variant>
      <vt:variant>
        <vt:i4>5</vt:i4>
      </vt:variant>
      <vt:variant>
        <vt:lpwstr>http://winnipeg.ca/police/pr/info_request.stm</vt:lpwstr>
      </vt:variant>
      <vt:variant>
        <vt:lpwstr/>
      </vt:variant>
      <vt:variant>
        <vt:i4>3407916</vt:i4>
      </vt:variant>
      <vt:variant>
        <vt:i4>1158</vt:i4>
      </vt:variant>
      <vt:variant>
        <vt:i4>0</vt:i4>
      </vt:variant>
      <vt:variant>
        <vt:i4>5</vt:i4>
      </vt:variant>
      <vt:variant>
        <vt:lpwstr>https://www.commissionaires.ca/en/manitoba/home</vt:lpwstr>
      </vt:variant>
      <vt:variant>
        <vt:lpwstr/>
      </vt:variant>
      <vt:variant>
        <vt:i4>6094874</vt:i4>
      </vt:variant>
      <vt:variant>
        <vt:i4>1155</vt:i4>
      </vt:variant>
      <vt:variant>
        <vt:i4>0</vt:i4>
      </vt:variant>
      <vt:variant>
        <vt:i4>5</vt:i4>
      </vt:variant>
      <vt:variant>
        <vt:lpwstr>http://www.backcheck.net/</vt:lpwstr>
      </vt:variant>
      <vt:variant>
        <vt:lpwstr/>
      </vt:variant>
      <vt:variant>
        <vt:i4>3801097</vt:i4>
      </vt:variant>
      <vt:variant>
        <vt:i4>1146</vt:i4>
      </vt:variant>
      <vt:variant>
        <vt:i4>0</vt:i4>
      </vt:variant>
      <vt:variant>
        <vt:i4>5</vt:i4>
      </vt:variant>
      <vt:variant>
        <vt:lpwstr>http://winnipeg.ca/police/pr/info_request.stm</vt:lpwstr>
      </vt:variant>
      <vt:variant>
        <vt:lpwstr/>
      </vt:variant>
      <vt:variant>
        <vt:i4>3801097</vt:i4>
      </vt:variant>
      <vt:variant>
        <vt:i4>1143</vt:i4>
      </vt:variant>
      <vt:variant>
        <vt:i4>0</vt:i4>
      </vt:variant>
      <vt:variant>
        <vt:i4>5</vt:i4>
      </vt:variant>
      <vt:variant>
        <vt:lpwstr>http://winnipeg.ca/police/pr/info_request.stm</vt:lpwstr>
      </vt:variant>
      <vt:variant>
        <vt:lpwstr/>
      </vt:variant>
      <vt:variant>
        <vt:i4>3407916</vt:i4>
      </vt:variant>
      <vt:variant>
        <vt:i4>1134</vt:i4>
      </vt:variant>
      <vt:variant>
        <vt:i4>0</vt:i4>
      </vt:variant>
      <vt:variant>
        <vt:i4>5</vt:i4>
      </vt:variant>
      <vt:variant>
        <vt:lpwstr>https://www.commissionaires.ca/en/manitoba/home</vt:lpwstr>
      </vt:variant>
      <vt:variant>
        <vt:lpwstr/>
      </vt:variant>
      <vt:variant>
        <vt:i4>6094874</vt:i4>
      </vt:variant>
      <vt:variant>
        <vt:i4>1131</vt:i4>
      </vt:variant>
      <vt:variant>
        <vt:i4>0</vt:i4>
      </vt:variant>
      <vt:variant>
        <vt:i4>5</vt:i4>
      </vt:variant>
      <vt:variant>
        <vt:lpwstr>http://www.backcheck.net/</vt:lpwstr>
      </vt:variant>
      <vt:variant>
        <vt:lpwstr/>
      </vt:variant>
      <vt:variant>
        <vt:i4>3014783</vt:i4>
      </vt:variant>
      <vt:variant>
        <vt:i4>1119</vt:i4>
      </vt:variant>
      <vt:variant>
        <vt:i4>0</vt:i4>
      </vt:variant>
      <vt:variant>
        <vt:i4>5</vt:i4>
      </vt:variant>
      <vt:variant>
        <vt:lpwstr>http://www.winnipeg.ca/matmgt/Spec/Default.stm</vt:lpwstr>
      </vt:variant>
      <vt:variant>
        <vt:lpwstr/>
      </vt:variant>
      <vt:variant>
        <vt:i4>5177464</vt:i4>
      </vt:variant>
      <vt:variant>
        <vt:i4>1035</vt:i4>
      </vt:variant>
      <vt:variant>
        <vt:i4>0</vt:i4>
      </vt:variant>
      <vt:variant>
        <vt:i4>5</vt:i4>
      </vt:variant>
      <vt:variant>
        <vt:lpwstr>mailto:CityWpgAP@winnipeg.ca</vt:lpwstr>
      </vt:variant>
      <vt:variant>
        <vt:lpwstr/>
      </vt:variant>
      <vt:variant>
        <vt:i4>4194312</vt:i4>
      </vt:variant>
      <vt:variant>
        <vt:i4>846</vt:i4>
      </vt:variant>
      <vt:variant>
        <vt:i4>0</vt:i4>
      </vt:variant>
      <vt:variant>
        <vt:i4>5</vt:i4>
      </vt:variant>
      <vt:variant>
        <vt:lpwstr>http://www.winnipeg.ca/matmgt/Safety/default.stm</vt:lpwstr>
      </vt:variant>
      <vt:variant>
        <vt:lpwstr/>
      </vt:variant>
      <vt:variant>
        <vt:i4>983082</vt:i4>
      </vt:variant>
      <vt:variant>
        <vt:i4>804</vt:i4>
      </vt:variant>
      <vt:variant>
        <vt:i4>0</vt:i4>
      </vt:variant>
      <vt:variant>
        <vt:i4>5</vt:i4>
      </vt:variant>
      <vt:variant>
        <vt:lpwstr>http://www.winnipeg.ca/matmgt/gen_cond.stm</vt:lpwstr>
      </vt:variant>
      <vt:variant>
        <vt:lpwstr/>
      </vt:variant>
      <vt:variant>
        <vt:i4>1179652</vt:i4>
      </vt:variant>
      <vt:variant>
        <vt:i4>705</vt:i4>
      </vt:variant>
      <vt:variant>
        <vt:i4>0</vt:i4>
      </vt:variant>
      <vt:variant>
        <vt:i4>5</vt:i4>
      </vt:variant>
      <vt:variant>
        <vt:lpwstr>http://www.winnipeg.ca/matmgt/default.stm</vt:lpwstr>
      </vt:variant>
      <vt:variant>
        <vt:lpwstr/>
      </vt:variant>
      <vt:variant>
        <vt:i4>1179652</vt:i4>
      </vt:variant>
      <vt:variant>
        <vt:i4>702</vt:i4>
      </vt:variant>
      <vt:variant>
        <vt:i4>0</vt:i4>
      </vt:variant>
      <vt:variant>
        <vt:i4>5</vt:i4>
      </vt:variant>
      <vt:variant>
        <vt:lpwstr>http://www.winnipeg.ca/matmgt/default.stm</vt:lpwstr>
      </vt:variant>
      <vt:variant>
        <vt:lpwstr/>
      </vt:variant>
      <vt:variant>
        <vt:i4>2097268</vt:i4>
      </vt:variant>
      <vt:variant>
        <vt:i4>681</vt:i4>
      </vt:variant>
      <vt:variant>
        <vt:i4>0</vt:i4>
      </vt:variant>
      <vt:variant>
        <vt:i4>5</vt:i4>
      </vt:variant>
      <vt:variant>
        <vt:lpwstr>http://www.winnipeg.ca/matmgt/</vt:lpwstr>
      </vt:variant>
      <vt:variant>
        <vt:lpwstr/>
      </vt:variant>
      <vt:variant>
        <vt:i4>8257651</vt:i4>
      </vt:variant>
      <vt:variant>
        <vt:i4>660</vt:i4>
      </vt:variant>
      <vt:variant>
        <vt:i4>0</vt:i4>
      </vt:variant>
      <vt:variant>
        <vt:i4>5</vt:i4>
      </vt:variant>
      <vt:variant>
        <vt:lpwstr>http://www.winnipeg.ca/matmgt/debar.stm</vt:lpwstr>
      </vt:variant>
      <vt:variant>
        <vt:lpwstr/>
      </vt:variant>
      <vt:variant>
        <vt:i4>4653151</vt:i4>
      </vt:variant>
      <vt:variant>
        <vt:i4>594</vt:i4>
      </vt:variant>
      <vt:variant>
        <vt:i4>0</vt:i4>
      </vt:variant>
      <vt:variant>
        <vt:i4>5</vt:i4>
      </vt:variant>
      <vt:variant>
        <vt:lpwstr>http://www.winnipeg.ca/matmgt/bidopp.asp</vt:lpwstr>
      </vt:variant>
      <vt:variant>
        <vt:lpwstr/>
      </vt:variant>
      <vt:variant>
        <vt:i4>1900594</vt:i4>
      </vt:variant>
      <vt:variant>
        <vt:i4>461</vt:i4>
      </vt:variant>
      <vt:variant>
        <vt:i4>0</vt:i4>
      </vt:variant>
      <vt:variant>
        <vt:i4>5</vt:i4>
      </vt:variant>
      <vt:variant>
        <vt:lpwstr/>
      </vt:variant>
      <vt:variant>
        <vt:lpwstr>_Toc425945740</vt:lpwstr>
      </vt:variant>
      <vt:variant>
        <vt:i4>1703986</vt:i4>
      </vt:variant>
      <vt:variant>
        <vt:i4>458</vt:i4>
      </vt:variant>
      <vt:variant>
        <vt:i4>0</vt:i4>
      </vt:variant>
      <vt:variant>
        <vt:i4>5</vt:i4>
      </vt:variant>
      <vt:variant>
        <vt:lpwstr/>
      </vt:variant>
      <vt:variant>
        <vt:lpwstr>_Toc425945739</vt:lpwstr>
      </vt:variant>
      <vt:variant>
        <vt:i4>1703986</vt:i4>
      </vt:variant>
      <vt:variant>
        <vt:i4>452</vt:i4>
      </vt:variant>
      <vt:variant>
        <vt:i4>0</vt:i4>
      </vt:variant>
      <vt:variant>
        <vt:i4>5</vt:i4>
      </vt:variant>
      <vt:variant>
        <vt:lpwstr/>
      </vt:variant>
      <vt:variant>
        <vt:lpwstr>_Toc425945738</vt:lpwstr>
      </vt:variant>
      <vt:variant>
        <vt:i4>1703986</vt:i4>
      </vt:variant>
      <vt:variant>
        <vt:i4>446</vt:i4>
      </vt:variant>
      <vt:variant>
        <vt:i4>0</vt:i4>
      </vt:variant>
      <vt:variant>
        <vt:i4>5</vt:i4>
      </vt:variant>
      <vt:variant>
        <vt:lpwstr/>
      </vt:variant>
      <vt:variant>
        <vt:lpwstr>_Toc425945737</vt:lpwstr>
      </vt:variant>
      <vt:variant>
        <vt:i4>1703986</vt:i4>
      </vt:variant>
      <vt:variant>
        <vt:i4>443</vt:i4>
      </vt:variant>
      <vt:variant>
        <vt:i4>0</vt:i4>
      </vt:variant>
      <vt:variant>
        <vt:i4>5</vt:i4>
      </vt:variant>
      <vt:variant>
        <vt:lpwstr/>
      </vt:variant>
      <vt:variant>
        <vt:lpwstr>_Toc425945736</vt:lpwstr>
      </vt:variant>
      <vt:variant>
        <vt:i4>1703986</vt:i4>
      </vt:variant>
      <vt:variant>
        <vt:i4>437</vt:i4>
      </vt:variant>
      <vt:variant>
        <vt:i4>0</vt:i4>
      </vt:variant>
      <vt:variant>
        <vt:i4>5</vt:i4>
      </vt:variant>
      <vt:variant>
        <vt:lpwstr/>
      </vt:variant>
      <vt:variant>
        <vt:lpwstr>_Toc425945735</vt:lpwstr>
      </vt:variant>
      <vt:variant>
        <vt:i4>1703986</vt:i4>
      </vt:variant>
      <vt:variant>
        <vt:i4>431</vt:i4>
      </vt:variant>
      <vt:variant>
        <vt:i4>0</vt:i4>
      </vt:variant>
      <vt:variant>
        <vt:i4>5</vt:i4>
      </vt:variant>
      <vt:variant>
        <vt:lpwstr/>
      </vt:variant>
      <vt:variant>
        <vt:lpwstr>_Toc425945734</vt:lpwstr>
      </vt:variant>
      <vt:variant>
        <vt:i4>1703986</vt:i4>
      </vt:variant>
      <vt:variant>
        <vt:i4>425</vt:i4>
      </vt:variant>
      <vt:variant>
        <vt:i4>0</vt:i4>
      </vt:variant>
      <vt:variant>
        <vt:i4>5</vt:i4>
      </vt:variant>
      <vt:variant>
        <vt:lpwstr/>
      </vt:variant>
      <vt:variant>
        <vt:lpwstr>_Toc425945733</vt:lpwstr>
      </vt:variant>
      <vt:variant>
        <vt:i4>1703986</vt:i4>
      </vt:variant>
      <vt:variant>
        <vt:i4>422</vt:i4>
      </vt:variant>
      <vt:variant>
        <vt:i4>0</vt:i4>
      </vt:variant>
      <vt:variant>
        <vt:i4>5</vt:i4>
      </vt:variant>
      <vt:variant>
        <vt:lpwstr/>
      </vt:variant>
      <vt:variant>
        <vt:lpwstr>_Toc425945732</vt:lpwstr>
      </vt:variant>
      <vt:variant>
        <vt:i4>1703986</vt:i4>
      </vt:variant>
      <vt:variant>
        <vt:i4>419</vt:i4>
      </vt:variant>
      <vt:variant>
        <vt:i4>0</vt:i4>
      </vt:variant>
      <vt:variant>
        <vt:i4>5</vt:i4>
      </vt:variant>
      <vt:variant>
        <vt:lpwstr/>
      </vt:variant>
      <vt:variant>
        <vt:lpwstr>_Toc425945731</vt:lpwstr>
      </vt:variant>
      <vt:variant>
        <vt:i4>1703986</vt:i4>
      </vt:variant>
      <vt:variant>
        <vt:i4>413</vt:i4>
      </vt:variant>
      <vt:variant>
        <vt:i4>0</vt:i4>
      </vt:variant>
      <vt:variant>
        <vt:i4>5</vt:i4>
      </vt:variant>
      <vt:variant>
        <vt:lpwstr/>
      </vt:variant>
      <vt:variant>
        <vt:lpwstr>_Toc425945730</vt:lpwstr>
      </vt:variant>
      <vt:variant>
        <vt:i4>1769522</vt:i4>
      </vt:variant>
      <vt:variant>
        <vt:i4>407</vt:i4>
      </vt:variant>
      <vt:variant>
        <vt:i4>0</vt:i4>
      </vt:variant>
      <vt:variant>
        <vt:i4>5</vt:i4>
      </vt:variant>
      <vt:variant>
        <vt:lpwstr/>
      </vt:variant>
      <vt:variant>
        <vt:lpwstr>_Toc425945729</vt:lpwstr>
      </vt:variant>
      <vt:variant>
        <vt:i4>1769522</vt:i4>
      </vt:variant>
      <vt:variant>
        <vt:i4>401</vt:i4>
      </vt:variant>
      <vt:variant>
        <vt:i4>0</vt:i4>
      </vt:variant>
      <vt:variant>
        <vt:i4>5</vt:i4>
      </vt:variant>
      <vt:variant>
        <vt:lpwstr/>
      </vt:variant>
      <vt:variant>
        <vt:lpwstr>_Toc425945728</vt:lpwstr>
      </vt:variant>
      <vt:variant>
        <vt:i4>1769522</vt:i4>
      </vt:variant>
      <vt:variant>
        <vt:i4>395</vt:i4>
      </vt:variant>
      <vt:variant>
        <vt:i4>0</vt:i4>
      </vt:variant>
      <vt:variant>
        <vt:i4>5</vt:i4>
      </vt:variant>
      <vt:variant>
        <vt:lpwstr/>
      </vt:variant>
      <vt:variant>
        <vt:lpwstr>_Toc425945727</vt:lpwstr>
      </vt:variant>
      <vt:variant>
        <vt:i4>1769522</vt:i4>
      </vt:variant>
      <vt:variant>
        <vt:i4>389</vt:i4>
      </vt:variant>
      <vt:variant>
        <vt:i4>0</vt:i4>
      </vt:variant>
      <vt:variant>
        <vt:i4>5</vt:i4>
      </vt:variant>
      <vt:variant>
        <vt:lpwstr/>
      </vt:variant>
      <vt:variant>
        <vt:lpwstr>_Toc425945726</vt:lpwstr>
      </vt:variant>
      <vt:variant>
        <vt:i4>1769522</vt:i4>
      </vt:variant>
      <vt:variant>
        <vt:i4>383</vt:i4>
      </vt:variant>
      <vt:variant>
        <vt:i4>0</vt:i4>
      </vt:variant>
      <vt:variant>
        <vt:i4>5</vt:i4>
      </vt:variant>
      <vt:variant>
        <vt:lpwstr/>
      </vt:variant>
      <vt:variant>
        <vt:lpwstr>_Toc425945725</vt:lpwstr>
      </vt:variant>
      <vt:variant>
        <vt:i4>1769522</vt:i4>
      </vt:variant>
      <vt:variant>
        <vt:i4>377</vt:i4>
      </vt:variant>
      <vt:variant>
        <vt:i4>0</vt:i4>
      </vt:variant>
      <vt:variant>
        <vt:i4>5</vt:i4>
      </vt:variant>
      <vt:variant>
        <vt:lpwstr/>
      </vt:variant>
      <vt:variant>
        <vt:lpwstr>_Toc425945724</vt:lpwstr>
      </vt:variant>
      <vt:variant>
        <vt:i4>1769522</vt:i4>
      </vt:variant>
      <vt:variant>
        <vt:i4>371</vt:i4>
      </vt:variant>
      <vt:variant>
        <vt:i4>0</vt:i4>
      </vt:variant>
      <vt:variant>
        <vt:i4>5</vt:i4>
      </vt:variant>
      <vt:variant>
        <vt:lpwstr/>
      </vt:variant>
      <vt:variant>
        <vt:lpwstr>_Toc425945723</vt:lpwstr>
      </vt:variant>
      <vt:variant>
        <vt:i4>1769522</vt:i4>
      </vt:variant>
      <vt:variant>
        <vt:i4>368</vt:i4>
      </vt:variant>
      <vt:variant>
        <vt:i4>0</vt:i4>
      </vt:variant>
      <vt:variant>
        <vt:i4>5</vt:i4>
      </vt:variant>
      <vt:variant>
        <vt:lpwstr/>
      </vt:variant>
      <vt:variant>
        <vt:lpwstr>_Toc425945722</vt:lpwstr>
      </vt:variant>
      <vt:variant>
        <vt:i4>1769522</vt:i4>
      </vt:variant>
      <vt:variant>
        <vt:i4>362</vt:i4>
      </vt:variant>
      <vt:variant>
        <vt:i4>0</vt:i4>
      </vt:variant>
      <vt:variant>
        <vt:i4>5</vt:i4>
      </vt:variant>
      <vt:variant>
        <vt:lpwstr/>
      </vt:variant>
      <vt:variant>
        <vt:lpwstr>_Toc425945721</vt:lpwstr>
      </vt:variant>
      <vt:variant>
        <vt:i4>1769522</vt:i4>
      </vt:variant>
      <vt:variant>
        <vt:i4>356</vt:i4>
      </vt:variant>
      <vt:variant>
        <vt:i4>0</vt:i4>
      </vt:variant>
      <vt:variant>
        <vt:i4>5</vt:i4>
      </vt:variant>
      <vt:variant>
        <vt:lpwstr/>
      </vt:variant>
      <vt:variant>
        <vt:lpwstr>_Toc425945720</vt:lpwstr>
      </vt:variant>
      <vt:variant>
        <vt:i4>1572914</vt:i4>
      </vt:variant>
      <vt:variant>
        <vt:i4>350</vt:i4>
      </vt:variant>
      <vt:variant>
        <vt:i4>0</vt:i4>
      </vt:variant>
      <vt:variant>
        <vt:i4>5</vt:i4>
      </vt:variant>
      <vt:variant>
        <vt:lpwstr/>
      </vt:variant>
      <vt:variant>
        <vt:lpwstr>_Toc425945719</vt:lpwstr>
      </vt:variant>
      <vt:variant>
        <vt:i4>1572914</vt:i4>
      </vt:variant>
      <vt:variant>
        <vt:i4>347</vt:i4>
      </vt:variant>
      <vt:variant>
        <vt:i4>0</vt:i4>
      </vt:variant>
      <vt:variant>
        <vt:i4>5</vt:i4>
      </vt:variant>
      <vt:variant>
        <vt:lpwstr/>
      </vt:variant>
      <vt:variant>
        <vt:lpwstr>_Toc425945718</vt:lpwstr>
      </vt:variant>
      <vt:variant>
        <vt:i4>1572914</vt:i4>
      </vt:variant>
      <vt:variant>
        <vt:i4>341</vt:i4>
      </vt:variant>
      <vt:variant>
        <vt:i4>0</vt:i4>
      </vt:variant>
      <vt:variant>
        <vt:i4>5</vt:i4>
      </vt:variant>
      <vt:variant>
        <vt:lpwstr/>
      </vt:variant>
      <vt:variant>
        <vt:lpwstr>_Toc425945717</vt:lpwstr>
      </vt:variant>
      <vt:variant>
        <vt:i4>1572914</vt:i4>
      </vt:variant>
      <vt:variant>
        <vt:i4>335</vt:i4>
      </vt:variant>
      <vt:variant>
        <vt:i4>0</vt:i4>
      </vt:variant>
      <vt:variant>
        <vt:i4>5</vt:i4>
      </vt:variant>
      <vt:variant>
        <vt:lpwstr/>
      </vt:variant>
      <vt:variant>
        <vt:lpwstr>_Toc425945716</vt:lpwstr>
      </vt:variant>
      <vt:variant>
        <vt:i4>1572914</vt:i4>
      </vt:variant>
      <vt:variant>
        <vt:i4>329</vt:i4>
      </vt:variant>
      <vt:variant>
        <vt:i4>0</vt:i4>
      </vt:variant>
      <vt:variant>
        <vt:i4>5</vt:i4>
      </vt:variant>
      <vt:variant>
        <vt:lpwstr/>
      </vt:variant>
      <vt:variant>
        <vt:lpwstr>_Toc425945715</vt:lpwstr>
      </vt:variant>
      <vt:variant>
        <vt:i4>1572914</vt:i4>
      </vt:variant>
      <vt:variant>
        <vt:i4>323</vt:i4>
      </vt:variant>
      <vt:variant>
        <vt:i4>0</vt:i4>
      </vt:variant>
      <vt:variant>
        <vt:i4>5</vt:i4>
      </vt:variant>
      <vt:variant>
        <vt:lpwstr/>
      </vt:variant>
      <vt:variant>
        <vt:lpwstr>_Toc425945714</vt:lpwstr>
      </vt:variant>
      <vt:variant>
        <vt:i4>1572914</vt:i4>
      </vt:variant>
      <vt:variant>
        <vt:i4>320</vt:i4>
      </vt:variant>
      <vt:variant>
        <vt:i4>0</vt:i4>
      </vt:variant>
      <vt:variant>
        <vt:i4>5</vt:i4>
      </vt:variant>
      <vt:variant>
        <vt:lpwstr/>
      </vt:variant>
      <vt:variant>
        <vt:lpwstr>_Toc425945713</vt:lpwstr>
      </vt:variant>
      <vt:variant>
        <vt:i4>1572914</vt:i4>
      </vt:variant>
      <vt:variant>
        <vt:i4>314</vt:i4>
      </vt:variant>
      <vt:variant>
        <vt:i4>0</vt:i4>
      </vt:variant>
      <vt:variant>
        <vt:i4>5</vt:i4>
      </vt:variant>
      <vt:variant>
        <vt:lpwstr/>
      </vt:variant>
      <vt:variant>
        <vt:lpwstr>_Toc425945712</vt:lpwstr>
      </vt:variant>
      <vt:variant>
        <vt:i4>1572914</vt:i4>
      </vt:variant>
      <vt:variant>
        <vt:i4>308</vt:i4>
      </vt:variant>
      <vt:variant>
        <vt:i4>0</vt:i4>
      </vt:variant>
      <vt:variant>
        <vt:i4>5</vt:i4>
      </vt:variant>
      <vt:variant>
        <vt:lpwstr/>
      </vt:variant>
      <vt:variant>
        <vt:lpwstr>_Toc425945711</vt:lpwstr>
      </vt:variant>
      <vt:variant>
        <vt:i4>1572914</vt:i4>
      </vt:variant>
      <vt:variant>
        <vt:i4>302</vt:i4>
      </vt:variant>
      <vt:variant>
        <vt:i4>0</vt:i4>
      </vt:variant>
      <vt:variant>
        <vt:i4>5</vt:i4>
      </vt:variant>
      <vt:variant>
        <vt:lpwstr/>
      </vt:variant>
      <vt:variant>
        <vt:lpwstr>_Toc425945710</vt:lpwstr>
      </vt:variant>
      <vt:variant>
        <vt:i4>1638450</vt:i4>
      </vt:variant>
      <vt:variant>
        <vt:i4>296</vt:i4>
      </vt:variant>
      <vt:variant>
        <vt:i4>0</vt:i4>
      </vt:variant>
      <vt:variant>
        <vt:i4>5</vt:i4>
      </vt:variant>
      <vt:variant>
        <vt:lpwstr/>
      </vt:variant>
      <vt:variant>
        <vt:lpwstr>_Toc425945709</vt:lpwstr>
      </vt:variant>
      <vt:variant>
        <vt:i4>1638450</vt:i4>
      </vt:variant>
      <vt:variant>
        <vt:i4>290</vt:i4>
      </vt:variant>
      <vt:variant>
        <vt:i4>0</vt:i4>
      </vt:variant>
      <vt:variant>
        <vt:i4>5</vt:i4>
      </vt:variant>
      <vt:variant>
        <vt:lpwstr/>
      </vt:variant>
      <vt:variant>
        <vt:lpwstr>_Toc425945708</vt:lpwstr>
      </vt:variant>
      <vt:variant>
        <vt:i4>1638450</vt:i4>
      </vt:variant>
      <vt:variant>
        <vt:i4>284</vt:i4>
      </vt:variant>
      <vt:variant>
        <vt:i4>0</vt:i4>
      </vt:variant>
      <vt:variant>
        <vt:i4>5</vt:i4>
      </vt:variant>
      <vt:variant>
        <vt:lpwstr/>
      </vt:variant>
      <vt:variant>
        <vt:lpwstr>_Toc425945707</vt:lpwstr>
      </vt:variant>
      <vt:variant>
        <vt:i4>1638450</vt:i4>
      </vt:variant>
      <vt:variant>
        <vt:i4>278</vt:i4>
      </vt:variant>
      <vt:variant>
        <vt:i4>0</vt:i4>
      </vt:variant>
      <vt:variant>
        <vt:i4>5</vt:i4>
      </vt:variant>
      <vt:variant>
        <vt:lpwstr/>
      </vt:variant>
      <vt:variant>
        <vt:lpwstr>_Toc425945706</vt:lpwstr>
      </vt:variant>
      <vt:variant>
        <vt:i4>1638450</vt:i4>
      </vt:variant>
      <vt:variant>
        <vt:i4>275</vt:i4>
      </vt:variant>
      <vt:variant>
        <vt:i4>0</vt:i4>
      </vt:variant>
      <vt:variant>
        <vt:i4>5</vt:i4>
      </vt:variant>
      <vt:variant>
        <vt:lpwstr/>
      </vt:variant>
      <vt:variant>
        <vt:lpwstr>_Toc425945705</vt:lpwstr>
      </vt:variant>
      <vt:variant>
        <vt:i4>1638450</vt:i4>
      </vt:variant>
      <vt:variant>
        <vt:i4>269</vt:i4>
      </vt:variant>
      <vt:variant>
        <vt:i4>0</vt:i4>
      </vt:variant>
      <vt:variant>
        <vt:i4>5</vt:i4>
      </vt:variant>
      <vt:variant>
        <vt:lpwstr/>
      </vt:variant>
      <vt:variant>
        <vt:lpwstr>_Toc425945704</vt:lpwstr>
      </vt:variant>
      <vt:variant>
        <vt:i4>1638450</vt:i4>
      </vt:variant>
      <vt:variant>
        <vt:i4>263</vt:i4>
      </vt:variant>
      <vt:variant>
        <vt:i4>0</vt:i4>
      </vt:variant>
      <vt:variant>
        <vt:i4>5</vt:i4>
      </vt:variant>
      <vt:variant>
        <vt:lpwstr/>
      </vt:variant>
      <vt:variant>
        <vt:lpwstr>_Toc425945703</vt:lpwstr>
      </vt:variant>
      <vt:variant>
        <vt:i4>1638450</vt:i4>
      </vt:variant>
      <vt:variant>
        <vt:i4>257</vt:i4>
      </vt:variant>
      <vt:variant>
        <vt:i4>0</vt:i4>
      </vt:variant>
      <vt:variant>
        <vt:i4>5</vt:i4>
      </vt:variant>
      <vt:variant>
        <vt:lpwstr/>
      </vt:variant>
      <vt:variant>
        <vt:lpwstr>_Toc425945702</vt:lpwstr>
      </vt:variant>
      <vt:variant>
        <vt:i4>1638450</vt:i4>
      </vt:variant>
      <vt:variant>
        <vt:i4>251</vt:i4>
      </vt:variant>
      <vt:variant>
        <vt:i4>0</vt:i4>
      </vt:variant>
      <vt:variant>
        <vt:i4>5</vt:i4>
      </vt:variant>
      <vt:variant>
        <vt:lpwstr/>
      </vt:variant>
      <vt:variant>
        <vt:lpwstr>_Toc425945701</vt:lpwstr>
      </vt:variant>
      <vt:variant>
        <vt:i4>1638450</vt:i4>
      </vt:variant>
      <vt:variant>
        <vt:i4>245</vt:i4>
      </vt:variant>
      <vt:variant>
        <vt:i4>0</vt:i4>
      </vt:variant>
      <vt:variant>
        <vt:i4>5</vt:i4>
      </vt:variant>
      <vt:variant>
        <vt:lpwstr/>
      </vt:variant>
      <vt:variant>
        <vt:lpwstr>_Toc425945700</vt:lpwstr>
      </vt:variant>
      <vt:variant>
        <vt:i4>1048627</vt:i4>
      </vt:variant>
      <vt:variant>
        <vt:i4>239</vt:i4>
      </vt:variant>
      <vt:variant>
        <vt:i4>0</vt:i4>
      </vt:variant>
      <vt:variant>
        <vt:i4>5</vt:i4>
      </vt:variant>
      <vt:variant>
        <vt:lpwstr/>
      </vt:variant>
      <vt:variant>
        <vt:lpwstr>_Toc425945699</vt:lpwstr>
      </vt:variant>
      <vt:variant>
        <vt:i4>1048627</vt:i4>
      </vt:variant>
      <vt:variant>
        <vt:i4>233</vt:i4>
      </vt:variant>
      <vt:variant>
        <vt:i4>0</vt:i4>
      </vt:variant>
      <vt:variant>
        <vt:i4>5</vt:i4>
      </vt:variant>
      <vt:variant>
        <vt:lpwstr/>
      </vt:variant>
      <vt:variant>
        <vt:lpwstr>_Toc425945698</vt:lpwstr>
      </vt:variant>
      <vt:variant>
        <vt:i4>1048627</vt:i4>
      </vt:variant>
      <vt:variant>
        <vt:i4>227</vt:i4>
      </vt:variant>
      <vt:variant>
        <vt:i4>0</vt:i4>
      </vt:variant>
      <vt:variant>
        <vt:i4>5</vt:i4>
      </vt:variant>
      <vt:variant>
        <vt:lpwstr/>
      </vt:variant>
      <vt:variant>
        <vt:lpwstr>_Toc425945697</vt:lpwstr>
      </vt:variant>
      <vt:variant>
        <vt:i4>1048627</vt:i4>
      </vt:variant>
      <vt:variant>
        <vt:i4>224</vt:i4>
      </vt:variant>
      <vt:variant>
        <vt:i4>0</vt:i4>
      </vt:variant>
      <vt:variant>
        <vt:i4>5</vt:i4>
      </vt:variant>
      <vt:variant>
        <vt:lpwstr/>
      </vt:variant>
      <vt:variant>
        <vt:lpwstr>_Toc425945696</vt:lpwstr>
      </vt:variant>
      <vt:variant>
        <vt:i4>1048627</vt:i4>
      </vt:variant>
      <vt:variant>
        <vt:i4>218</vt:i4>
      </vt:variant>
      <vt:variant>
        <vt:i4>0</vt:i4>
      </vt:variant>
      <vt:variant>
        <vt:i4>5</vt:i4>
      </vt:variant>
      <vt:variant>
        <vt:lpwstr/>
      </vt:variant>
      <vt:variant>
        <vt:lpwstr>_Toc425945695</vt:lpwstr>
      </vt:variant>
      <vt:variant>
        <vt:i4>1048627</vt:i4>
      </vt:variant>
      <vt:variant>
        <vt:i4>212</vt:i4>
      </vt:variant>
      <vt:variant>
        <vt:i4>0</vt:i4>
      </vt:variant>
      <vt:variant>
        <vt:i4>5</vt:i4>
      </vt:variant>
      <vt:variant>
        <vt:lpwstr/>
      </vt:variant>
      <vt:variant>
        <vt:lpwstr>_Toc425945694</vt:lpwstr>
      </vt:variant>
      <vt:variant>
        <vt:i4>1048627</vt:i4>
      </vt:variant>
      <vt:variant>
        <vt:i4>206</vt:i4>
      </vt:variant>
      <vt:variant>
        <vt:i4>0</vt:i4>
      </vt:variant>
      <vt:variant>
        <vt:i4>5</vt:i4>
      </vt:variant>
      <vt:variant>
        <vt:lpwstr/>
      </vt:variant>
      <vt:variant>
        <vt:lpwstr>_Toc425945693</vt:lpwstr>
      </vt:variant>
      <vt:variant>
        <vt:i4>1048627</vt:i4>
      </vt:variant>
      <vt:variant>
        <vt:i4>200</vt:i4>
      </vt:variant>
      <vt:variant>
        <vt:i4>0</vt:i4>
      </vt:variant>
      <vt:variant>
        <vt:i4>5</vt:i4>
      </vt:variant>
      <vt:variant>
        <vt:lpwstr/>
      </vt:variant>
      <vt:variant>
        <vt:lpwstr>_Toc425945692</vt:lpwstr>
      </vt:variant>
      <vt:variant>
        <vt:i4>1048627</vt:i4>
      </vt:variant>
      <vt:variant>
        <vt:i4>194</vt:i4>
      </vt:variant>
      <vt:variant>
        <vt:i4>0</vt:i4>
      </vt:variant>
      <vt:variant>
        <vt:i4>5</vt:i4>
      </vt:variant>
      <vt:variant>
        <vt:lpwstr/>
      </vt:variant>
      <vt:variant>
        <vt:lpwstr>_Toc425945691</vt:lpwstr>
      </vt:variant>
      <vt:variant>
        <vt:i4>1048627</vt:i4>
      </vt:variant>
      <vt:variant>
        <vt:i4>188</vt:i4>
      </vt:variant>
      <vt:variant>
        <vt:i4>0</vt:i4>
      </vt:variant>
      <vt:variant>
        <vt:i4>5</vt:i4>
      </vt:variant>
      <vt:variant>
        <vt:lpwstr/>
      </vt:variant>
      <vt:variant>
        <vt:lpwstr>_Toc425945690</vt:lpwstr>
      </vt:variant>
      <vt:variant>
        <vt:i4>1114163</vt:i4>
      </vt:variant>
      <vt:variant>
        <vt:i4>182</vt:i4>
      </vt:variant>
      <vt:variant>
        <vt:i4>0</vt:i4>
      </vt:variant>
      <vt:variant>
        <vt:i4>5</vt:i4>
      </vt:variant>
      <vt:variant>
        <vt:lpwstr/>
      </vt:variant>
      <vt:variant>
        <vt:lpwstr>_Toc425945689</vt:lpwstr>
      </vt:variant>
      <vt:variant>
        <vt:i4>1114163</vt:i4>
      </vt:variant>
      <vt:variant>
        <vt:i4>176</vt:i4>
      </vt:variant>
      <vt:variant>
        <vt:i4>0</vt:i4>
      </vt:variant>
      <vt:variant>
        <vt:i4>5</vt:i4>
      </vt:variant>
      <vt:variant>
        <vt:lpwstr/>
      </vt:variant>
      <vt:variant>
        <vt:lpwstr>_Toc425945688</vt:lpwstr>
      </vt:variant>
      <vt:variant>
        <vt:i4>1114163</vt:i4>
      </vt:variant>
      <vt:variant>
        <vt:i4>173</vt:i4>
      </vt:variant>
      <vt:variant>
        <vt:i4>0</vt:i4>
      </vt:variant>
      <vt:variant>
        <vt:i4>5</vt:i4>
      </vt:variant>
      <vt:variant>
        <vt:lpwstr/>
      </vt:variant>
      <vt:variant>
        <vt:lpwstr>_Toc425945687</vt:lpwstr>
      </vt:variant>
      <vt:variant>
        <vt:i4>1114163</vt:i4>
      </vt:variant>
      <vt:variant>
        <vt:i4>170</vt:i4>
      </vt:variant>
      <vt:variant>
        <vt:i4>0</vt:i4>
      </vt:variant>
      <vt:variant>
        <vt:i4>5</vt:i4>
      </vt:variant>
      <vt:variant>
        <vt:lpwstr/>
      </vt:variant>
      <vt:variant>
        <vt:lpwstr>_Toc425945686</vt:lpwstr>
      </vt:variant>
      <vt:variant>
        <vt:i4>1114163</vt:i4>
      </vt:variant>
      <vt:variant>
        <vt:i4>164</vt:i4>
      </vt:variant>
      <vt:variant>
        <vt:i4>0</vt:i4>
      </vt:variant>
      <vt:variant>
        <vt:i4>5</vt:i4>
      </vt:variant>
      <vt:variant>
        <vt:lpwstr/>
      </vt:variant>
      <vt:variant>
        <vt:lpwstr>_Toc425945685</vt:lpwstr>
      </vt:variant>
      <vt:variant>
        <vt:i4>1114163</vt:i4>
      </vt:variant>
      <vt:variant>
        <vt:i4>161</vt:i4>
      </vt:variant>
      <vt:variant>
        <vt:i4>0</vt:i4>
      </vt:variant>
      <vt:variant>
        <vt:i4>5</vt:i4>
      </vt:variant>
      <vt:variant>
        <vt:lpwstr/>
      </vt:variant>
      <vt:variant>
        <vt:lpwstr>_Toc425945684</vt:lpwstr>
      </vt:variant>
      <vt:variant>
        <vt:i4>1114163</vt:i4>
      </vt:variant>
      <vt:variant>
        <vt:i4>155</vt:i4>
      </vt:variant>
      <vt:variant>
        <vt:i4>0</vt:i4>
      </vt:variant>
      <vt:variant>
        <vt:i4>5</vt:i4>
      </vt:variant>
      <vt:variant>
        <vt:lpwstr/>
      </vt:variant>
      <vt:variant>
        <vt:lpwstr>_Toc425945683</vt:lpwstr>
      </vt:variant>
      <vt:variant>
        <vt:i4>1114163</vt:i4>
      </vt:variant>
      <vt:variant>
        <vt:i4>149</vt:i4>
      </vt:variant>
      <vt:variant>
        <vt:i4>0</vt:i4>
      </vt:variant>
      <vt:variant>
        <vt:i4>5</vt:i4>
      </vt:variant>
      <vt:variant>
        <vt:lpwstr/>
      </vt:variant>
      <vt:variant>
        <vt:lpwstr>_Toc425945682</vt:lpwstr>
      </vt:variant>
      <vt:variant>
        <vt:i4>1114163</vt:i4>
      </vt:variant>
      <vt:variant>
        <vt:i4>143</vt:i4>
      </vt:variant>
      <vt:variant>
        <vt:i4>0</vt:i4>
      </vt:variant>
      <vt:variant>
        <vt:i4>5</vt:i4>
      </vt:variant>
      <vt:variant>
        <vt:lpwstr/>
      </vt:variant>
      <vt:variant>
        <vt:lpwstr>_Toc425945681</vt:lpwstr>
      </vt:variant>
      <vt:variant>
        <vt:i4>1114163</vt:i4>
      </vt:variant>
      <vt:variant>
        <vt:i4>137</vt:i4>
      </vt:variant>
      <vt:variant>
        <vt:i4>0</vt:i4>
      </vt:variant>
      <vt:variant>
        <vt:i4>5</vt:i4>
      </vt:variant>
      <vt:variant>
        <vt:lpwstr/>
      </vt:variant>
      <vt:variant>
        <vt:lpwstr>_Toc425945680</vt:lpwstr>
      </vt:variant>
      <vt:variant>
        <vt:i4>1966131</vt:i4>
      </vt:variant>
      <vt:variant>
        <vt:i4>131</vt:i4>
      </vt:variant>
      <vt:variant>
        <vt:i4>0</vt:i4>
      </vt:variant>
      <vt:variant>
        <vt:i4>5</vt:i4>
      </vt:variant>
      <vt:variant>
        <vt:lpwstr/>
      </vt:variant>
      <vt:variant>
        <vt:lpwstr>_Toc425945679</vt:lpwstr>
      </vt:variant>
      <vt:variant>
        <vt:i4>1966131</vt:i4>
      </vt:variant>
      <vt:variant>
        <vt:i4>125</vt:i4>
      </vt:variant>
      <vt:variant>
        <vt:i4>0</vt:i4>
      </vt:variant>
      <vt:variant>
        <vt:i4>5</vt:i4>
      </vt:variant>
      <vt:variant>
        <vt:lpwstr/>
      </vt:variant>
      <vt:variant>
        <vt:lpwstr>_Toc425945678</vt:lpwstr>
      </vt:variant>
      <vt:variant>
        <vt:i4>1966131</vt:i4>
      </vt:variant>
      <vt:variant>
        <vt:i4>119</vt:i4>
      </vt:variant>
      <vt:variant>
        <vt:i4>0</vt:i4>
      </vt:variant>
      <vt:variant>
        <vt:i4>5</vt:i4>
      </vt:variant>
      <vt:variant>
        <vt:lpwstr/>
      </vt:variant>
      <vt:variant>
        <vt:lpwstr>_Toc425945677</vt:lpwstr>
      </vt:variant>
      <vt:variant>
        <vt:i4>1966131</vt:i4>
      </vt:variant>
      <vt:variant>
        <vt:i4>113</vt:i4>
      </vt:variant>
      <vt:variant>
        <vt:i4>0</vt:i4>
      </vt:variant>
      <vt:variant>
        <vt:i4>5</vt:i4>
      </vt:variant>
      <vt:variant>
        <vt:lpwstr/>
      </vt:variant>
      <vt:variant>
        <vt:lpwstr>_Toc425945676</vt:lpwstr>
      </vt:variant>
      <vt:variant>
        <vt:i4>1966131</vt:i4>
      </vt:variant>
      <vt:variant>
        <vt:i4>107</vt:i4>
      </vt:variant>
      <vt:variant>
        <vt:i4>0</vt:i4>
      </vt:variant>
      <vt:variant>
        <vt:i4>5</vt:i4>
      </vt:variant>
      <vt:variant>
        <vt:lpwstr/>
      </vt:variant>
      <vt:variant>
        <vt:lpwstr>_Toc425945675</vt:lpwstr>
      </vt:variant>
      <vt:variant>
        <vt:i4>1966131</vt:i4>
      </vt:variant>
      <vt:variant>
        <vt:i4>101</vt:i4>
      </vt:variant>
      <vt:variant>
        <vt:i4>0</vt:i4>
      </vt:variant>
      <vt:variant>
        <vt:i4>5</vt:i4>
      </vt:variant>
      <vt:variant>
        <vt:lpwstr/>
      </vt:variant>
      <vt:variant>
        <vt:lpwstr>_Toc425945674</vt:lpwstr>
      </vt:variant>
      <vt:variant>
        <vt:i4>1966131</vt:i4>
      </vt:variant>
      <vt:variant>
        <vt:i4>95</vt:i4>
      </vt:variant>
      <vt:variant>
        <vt:i4>0</vt:i4>
      </vt:variant>
      <vt:variant>
        <vt:i4>5</vt:i4>
      </vt:variant>
      <vt:variant>
        <vt:lpwstr/>
      </vt:variant>
      <vt:variant>
        <vt:lpwstr>_Toc425945673</vt:lpwstr>
      </vt:variant>
      <vt:variant>
        <vt:i4>1966131</vt:i4>
      </vt:variant>
      <vt:variant>
        <vt:i4>89</vt:i4>
      </vt:variant>
      <vt:variant>
        <vt:i4>0</vt:i4>
      </vt:variant>
      <vt:variant>
        <vt:i4>5</vt:i4>
      </vt:variant>
      <vt:variant>
        <vt:lpwstr/>
      </vt:variant>
      <vt:variant>
        <vt:lpwstr>_Toc425945672</vt:lpwstr>
      </vt:variant>
      <vt:variant>
        <vt:i4>1966131</vt:i4>
      </vt:variant>
      <vt:variant>
        <vt:i4>83</vt:i4>
      </vt:variant>
      <vt:variant>
        <vt:i4>0</vt:i4>
      </vt:variant>
      <vt:variant>
        <vt:i4>5</vt:i4>
      </vt:variant>
      <vt:variant>
        <vt:lpwstr/>
      </vt:variant>
      <vt:variant>
        <vt:lpwstr>_Toc425945671</vt:lpwstr>
      </vt:variant>
      <vt:variant>
        <vt:i4>1966131</vt:i4>
      </vt:variant>
      <vt:variant>
        <vt:i4>77</vt:i4>
      </vt:variant>
      <vt:variant>
        <vt:i4>0</vt:i4>
      </vt:variant>
      <vt:variant>
        <vt:i4>5</vt:i4>
      </vt:variant>
      <vt:variant>
        <vt:lpwstr/>
      </vt:variant>
      <vt:variant>
        <vt:lpwstr>_Toc425945670</vt:lpwstr>
      </vt:variant>
      <vt:variant>
        <vt:i4>2031667</vt:i4>
      </vt:variant>
      <vt:variant>
        <vt:i4>71</vt:i4>
      </vt:variant>
      <vt:variant>
        <vt:i4>0</vt:i4>
      </vt:variant>
      <vt:variant>
        <vt:i4>5</vt:i4>
      </vt:variant>
      <vt:variant>
        <vt:lpwstr/>
      </vt:variant>
      <vt:variant>
        <vt:lpwstr>_Toc425945669</vt:lpwstr>
      </vt:variant>
      <vt:variant>
        <vt:i4>2031667</vt:i4>
      </vt:variant>
      <vt:variant>
        <vt:i4>65</vt:i4>
      </vt:variant>
      <vt:variant>
        <vt:i4>0</vt:i4>
      </vt:variant>
      <vt:variant>
        <vt:i4>5</vt:i4>
      </vt:variant>
      <vt:variant>
        <vt:lpwstr/>
      </vt:variant>
      <vt:variant>
        <vt:lpwstr>_Toc425945668</vt:lpwstr>
      </vt:variant>
      <vt:variant>
        <vt:i4>2031667</vt:i4>
      </vt:variant>
      <vt:variant>
        <vt:i4>59</vt:i4>
      </vt:variant>
      <vt:variant>
        <vt:i4>0</vt:i4>
      </vt:variant>
      <vt:variant>
        <vt:i4>5</vt:i4>
      </vt:variant>
      <vt:variant>
        <vt:lpwstr/>
      </vt:variant>
      <vt:variant>
        <vt:lpwstr>_Toc425945667</vt:lpwstr>
      </vt:variant>
      <vt:variant>
        <vt:i4>2031667</vt:i4>
      </vt:variant>
      <vt:variant>
        <vt:i4>53</vt:i4>
      </vt:variant>
      <vt:variant>
        <vt:i4>0</vt:i4>
      </vt:variant>
      <vt:variant>
        <vt:i4>5</vt:i4>
      </vt:variant>
      <vt:variant>
        <vt:lpwstr/>
      </vt:variant>
      <vt:variant>
        <vt:lpwstr>_Toc425945666</vt:lpwstr>
      </vt:variant>
      <vt:variant>
        <vt:i4>2031667</vt:i4>
      </vt:variant>
      <vt:variant>
        <vt:i4>47</vt:i4>
      </vt:variant>
      <vt:variant>
        <vt:i4>0</vt:i4>
      </vt:variant>
      <vt:variant>
        <vt:i4>5</vt:i4>
      </vt:variant>
      <vt:variant>
        <vt:lpwstr/>
      </vt:variant>
      <vt:variant>
        <vt:lpwstr>_Toc425945665</vt:lpwstr>
      </vt:variant>
      <vt:variant>
        <vt:i4>2031667</vt:i4>
      </vt:variant>
      <vt:variant>
        <vt:i4>44</vt:i4>
      </vt:variant>
      <vt:variant>
        <vt:i4>0</vt:i4>
      </vt:variant>
      <vt:variant>
        <vt:i4>5</vt:i4>
      </vt:variant>
      <vt:variant>
        <vt:lpwstr/>
      </vt:variant>
      <vt:variant>
        <vt:lpwstr>_Toc425945664</vt:lpwstr>
      </vt:variant>
      <vt:variant>
        <vt:i4>2031667</vt:i4>
      </vt:variant>
      <vt:variant>
        <vt:i4>38</vt:i4>
      </vt:variant>
      <vt:variant>
        <vt:i4>0</vt:i4>
      </vt:variant>
      <vt:variant>
        <vt:i4>5</vt:i4>
      </vt:variant>
      <vt:variant>
        <vt:lpwstr/>
      </vt:variant>
      <vt:variant>
        <vt:lpwstr>_Toc425945663</vt:lpwstr>
      </vt:variant>
      <vt:variant>
        <vt:i4>2031667</vt:i4>
      </vt:variant>
      <vt:variant>
        <vt:i4>32</vt:i4>
      </vt:variant>
      <vt:variant>
        <vt:i4>0</vt:i4>
      </vt:variant>
      <vt:variant>
        <vt:i4>5</vt:i4>
      </vt:variant>
      <vt:variant>
        <vt:lpwstr/>
      </vt:variant>
      <vt:variant>
        <vt:lpwstr>_Toc425945662</vt:lpwstr>
      </vt:variant>
      <vt:variant>
        <vt:i4>2031667</vt:i4>
      </vt:variant>
      <vt:variant>
        <vt:i4>26</vt:i4>
      </vt:variant>
      <vt:variant>
        <vt:i4>0</vt:i4>
      </vt:variant>
      <vt:variant>
        <vt:i4>5</vt:i4>
      </vt:variant>
      <vt:variant>
        <vt:lpwstr/>
      </vt:variant>
      <vt:variant>
        <vt:lpwstr>_Toc425945661</vt:lpwstr>
      </vt:variant>
      <vt:variant>
        <vt:i4>2031667</vt:i4>
      </vt:variant>
      <vt:variant>
        <vt:i4>20</vt:i4>
      </vt:variant>
      <vt:variant>
        <vt:i4>0</vt:i4>
      </vt:variant>
      <vt:variant>
        <vt:i4>5</vt:i4>
      </vt:variant>
      <vt:variant>
        <vt:lpwstr/>
      </vt:variant>
      <vt:variant>
        <vt:lpwstr>_Toc425945660</vt:lpwstr>
      </vt:variant>
      <vt:variant>
        <vt:i4>1835059</vt:i4>
      </vt:variant>
      <vt:variant>
        <vt:i4>14</vt:i4>
      </vt:variant>
      <vt:variant>
        <vt:i4>0</vt:i4>
      </vt:variant>
      <vt:variant>
        <vt:i4>5</vt:i4>
      </vt:variant>
      <vt:variant>
        <vt:lpwstr/>
      </vt:variant>
      <vt:variant>
        <vt:lpwstr>_Toc425945659</vt:lpwstr>
      </vt:variant>
      <vt:variant>
        <vt:i4>1835059</vt:i4>
      </vt:variant>
      <vt:variant>
        <vt:i4>8</vt:i4>
      </vt:variant>
      <vt:variant>
        <vt:i4>0</vt:i4>
      </vt:variant>
      <vt:variant>
        <vt:i4>5</vt:i4>
      </vt:variant>
      <vt:variant>
        <vt:lpwstr/>
      </vt:variant>
      <vt:variant>
        <vt:lpwstr>_Toc425945658</vt:lpwstr>
      </vt:variant>
      <vt:variant>
        <vt:i4>4259873</vt:i4>
      </vt:variant>
      <vt:variant>
        <vt:i4>0</vt:i4>
      </vt:variant>
      <vt:variant>
        <vt:i4>0</vt:i4>
      </vt:variant>
      <vt:variant>
        <vt:i4>5</vt:i4>
      </vt:variant>
      <vt:variant>
        <vt:lpwstr>mailto:Legal-Purchasing@winnipeg.ca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Opportunity</dc:title>
  <dc:subject>Construction</dc:subject>
  <dc:creator>Reimer, Curtis (NonCityStaff)</dc:creator>
  <dc:description>August 2015 remove clause from sub, update weblinks_x000d_
Jan 2015 Added Disclosure clause_x000d_
J2014 Add to Substitutes clause_x000d_
Fix Xref in Working Days_x000d_
M28 + confidentiality clause_x000d_
Nov 2013 Updated Qualification clause</dc:description>
  <cp:lastModifiedBy>Reimer, Curtis (NonCityStaff)</cp:lastModifiedBy>
  <cp:revision>19</cp:revision>
  <cp:lastPrinted>2015-11-27T21:24:00Z</cp:lastPrinted>
  <dcterms:created xsi:type="dcterms:W3CDTF">2016-02-22T19:14:00Z</dcterms:created>
  <dcterms:modified xsi:type="dcterms:W3CDTF">2016-04-14T19:24:00Z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C020150806 - Main C</vt:lpwstr>
  </property>
</Properties>
</file>